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D259">
      <w:pPr>
        <w:keepNext w:val="0"/>
        <w:keepLines w:val="0"/>
        <w:widowControl/>
        <w:suppressLineNumbers w:val="0"/>
        <w:ind w:firstLine="2891" w:firstLineChars="90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合同基本条款</w:t>
      </w:r>
    </w:p>
    <w:p w14:paraId="1EB4B802">
      <w:pPr>
        <w:pStyle w:val="2"/>
        <w:numPr>
          <w:ilvl w:val="0"/>
          <w:numId w:val="0"/>
        </w:numPr>
        <w:ind w:left="2730" w:leftChars="0"/>
        <w:rPr>
          <w:rFonts w:hint="eastAsia"/>
          <w:lang w:val="en-US" w:eastAsia="zh-CN"/>
        </w:rPr>
      </w:pPr>
    </w:p>
    <w:p w14:paraId="2FCFC3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一、项目实施 </w:t>
      </w:r>
    </w:p>
    <w:p w14:paraId="301235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项目实施地点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：汉中市大数据服务中心</w:t>
      </w:r>
    </w:p>
    <w:p w14:paraId="360AA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项目实施期限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：合同签订之日起一年</w:t>
      </w:r>
    </w:p>
    <w:p w14:paraId="70ABF5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二、合同价款 </w:t>
      </w:r>
    </w:p>
    <w:p w14:paraId="74382E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合同总价一次性包死，不受市场价格变化因素的影响。 </w:t>
      </w:r>
    </w:p>
    <w:p w14:paraId="4AB8EF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三、款项结算 </w:t>
      </w:r>
    </w:p>
    <w:p w14:paraId="7B753F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（一）支付方式：银行转账 </w:t>
      </w:r>
    </w:p>
    <w:p w14:paraId="4931B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（二）货币单位：人民币 </w:t>
      </w:r>
    </w:p>
    <w:p w14:paraId="3FC5F1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（三）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结算方式：合同签订10个工作日，达到付款条件起10个工作日内，支付合同总金额的100%</w:t>
      </w:r>
      <w:bookmarkStart w:id="0" w:name="_GoBack"/>
      <w:bookmarkEnd w:id="0"/>
    </w:p>
    <w:p w14:paraId="3FFD2B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双方权利与义务 </w:t>
      </w:r>
    </w:p>
    <w:p w14:paraId="0C40C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甲方责任：</w:t>
      </w:r>
    </w:p>
    <w:p w14:paraId="1F5A1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</w:t>
      </w:r>
    </w:p>
    <w:p w14:paraId="52CC7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</w:t>
      </w:r>
    </w:p>
    <w:p w14:paraId="05912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</w:t>
      </w:r>
    </w:p>
    <w:p w14:paraId="0A178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（二）乙方责任：</w:t>
      </w:r>
    </w:p>
    <w:p w14:paraId="18CA8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</w:t>
      </w:r>
    </w:p>
    <w:p w14:paraId="35A5D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</w:t>
      </w:r>
    </w:p>
    <w:p w14:paraId="015CB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</w:p>
    <w:p w14:paraId="30E8711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五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验收</w:t>
      </w:r>
    </w:p>
    <w:p w14:paraId="226501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（一）初步验收：</w:t>
      </w:r>
    </w:p>
    <w:p w14:paraId="3F907B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（二）最终验收：</w:t>
      </w:r>
    </w:p>
    <w:p w14:paraId="0C3D44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（三）验收依据 </w:t>
      </w:r>
    </w:p>
    <w:p w14:paraId="5B07DC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1、招标文件、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响应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文件、澄清表（函）； </w:t>
      </w:r>
    </w:p>
    <w:p w14:paraId="4E3A4D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2、本合同及附件文本； </w:t>
      </w:r>
    </w:p>
    <w:p w14:paraId="2C9CEC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3、合同签订时国家及行业现行的标准和技术规范。 </w:t>
      </w:r>
    </w:p>
    <w:p w14:paraId="308537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（四）中标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（成交）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供应商应向采购人提交项目实施过程中的所有资料，以便 </w:t>
      </w:r>
    </w:p>
    <w:p w14:paraId="6F51C6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采购人日后管理和维护。</w:t>
      </w:r>
    </w:p>
    <w:p w14:paraId="776544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六、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服务承诺 </w:t>
      </w:r>
    </w:p>
    <w:p w14:paraId="0F4608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响应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文件、澄清表（函）、合同和随产品的相关文件为准。</w:t>
      </w:r>
      <w:r>
        <w:rPr>
          <w:rFonts w:hint="default"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55C308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七、违约责任 </w:t>
      </w:r>
    </w:p>
    <w:p w14:paraId="7EC65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依据《中华人民共和国民法典》、《中华人民共和国政府采购法》的相关条款规定和本合同约定，乙方未全面履行合同义务或者发生违约的，甲方有权终止合同；若给甲方造成经济损失的，甲方可依法向乙方进行经济索赔，并报请政府采购监管机关依法进行相应的行政处罚。甲方违约的，须依法赔偿给乙方造成的经济损失。</w:t>
      </w:r>
    </w:p>
    <w:p w14:paraId="5FA7EA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八、争议解决 </w:t>
      </w:r>
    </w:p>
    <w:p w14:paraId="06D366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执行本合同中产生纠纷，由采购人与中标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（成交）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供应商双方协商解决；协商不成，向有管辖权的人民法院提起诉讼。 </w:t>
      </w:r>
    </w:p>
    <w:p w14:paraId="706F94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九、合同生效及其他 </w:t>
      </w:r>
    </w:p>
    <w:p w14:paraId="6994B3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1、本合同自签订之日起生效。 </w:t>
      </w:r>
    </w:p>
    <w:p w14:paraId="33E9C9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2、合同份数由采购人和中标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（成交）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供应商具体商定。 </w:t>
      </w:r>
    </w:p>
    <w:p w14:paraId="4C1C78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3、未尽事宜由双方在签订合同时具体明确。</w:t>
      </w:r>
    </w:p>
    <w:p w14:paraId="698D9D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822E0"/>
    <w:rsid w:val="521822E0"/>
    <w:rsid w:val="78DF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623</Characters>
  <Lines>0</Lines>
  <Paragraphs>0</Paragraphs>
  <TotalTime>4</TotalTime>
  <ScaleCrop>false</ScaleCrop>
  <LinksUpToDate>false</LinksUpToDate>
  <CharactersWithSpaces>657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2025-04-08T07:13:00Z</dcterms:created>
  <dc:creator>大漠苍狼</dc:creator>
  <cp:lastModifiedBy>莲鹤</cp:lastModifiedBy>
  <dcterms:modified xsi:type="dcterms:W3CDTF">2026-08-11T02:01:48Z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F497F15B4341461A93FE7B4A1316657E_13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