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版本号：SCZE2026-ZB-2007-00120260724001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动态损伤与腐蚀测试仪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SCZE2026-ZB-2007-001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动态损伤与腐蚀测试仪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SCZE2026-ZB-2007-001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动态损伤与腐蚀测试仪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采购动态损伤与腐蚀测试仪是一套综合了材料摩擦磨损和化学腐蚀的试验设备。该套设备主要用于金属材料表面及涂层在不同工作条件下的耐磨性能和耐蚀性能的定量评价。既可以进行往复式大行程的摩擦磨损试验，也可以进行微幅振动摩擦试验，同时还可以进行不同液体环境下的腐蚀试验，在材料和金属零件摩擦和腐蚀性能评估、表面改性及创新设计等方面具有重要的应用价值，适用于材料科学、机械工程、航空航天、生物工程等领域的科学研究。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采购包1（动态损伤与腐蚀测试仪）：属于专门面向中小企业采购。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政府采购法》第二十二条规定：(1)具有法人、其他组织或自然人，提供合法有效的营业执照(事业单位提供法人证书，自然人提供身份证)。(2)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本单位投标文件截止时间前一年内任意一个月已缴纳的缴纳增值税或企业所得税纳税证明或完税证明，依法免税的单位应提供相关证明材料。(4)提供本单位投标文件截止时间前近一年中任何一个月的社会缴纳社会保险的凭据(缴存单据或社会保险参保缴纳清单证明);依法不需要缴纳社会保障资金的投标人应提供相关文件证明。(5)提供具有履行合同所必需的设备和专业技术能力的承诺。(6)提供参加政府采购活动前三年内，在经营活动中没有重大违法记录的书面声明。</w:t>
      </w:r>
    </w:p>
    <w:p>
      <w:pPr>
        <w:pStyle w:val="null3"/>
      </w:pPr>
      <w:r>
        <w:rPr>
          <w:rFonts w:ascii="仿宋_GB2312" w:hAnsi="仿宋_GB2312" w:cs="仿宋_GB2312" w:eastAsia="仿宋_GB2312"/>
        </w:rPr>
        <w:t>2、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3、“信用中国”网站和中国政府采购网（wwwccgpgovcn）查询记录：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4、其他情形：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李心洋、马超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银行账号：103261567528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代理服务费收费标准：定额5000元，中标单位在领取中标通知书前，须向招标代理机构一次性支付招标代理服务费。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（1）合同文本、合同附件、投标文件、招标文件；（2）国内相应的标准、规范；（3）其他适用的依据，性能测试验收（关键指标实测）连续运行8小时无故障。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动态损伤与腐蚀测试仪是一套综合了材料摩擦磨损和化学腐蚀的试验设备。该套设备主要用于金属材料表面及涂层在不同工作条件下的耐磨性能和耐蚀性能的定量评价。既可以进行往复式大行程的摩擦磨损试验，也可以进行微幅振动摩擦试验，同时还可以进行不同液体环境下的腐蚀试验，在材料和金属零件摩擦和腐蚀性能评估、表面改性及创新设计等方面具有重要的应用价值，适用于材料科学、机械工程、航空航天、生物工程等领域的科学研究。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动态损伤与腐蚀测试仪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标的名称：动态损伤与腐蚀测试仪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往复摩擦</w:t>
            </w:r>
            <w:r>
              <w:rPr>
                <w:rFonts w:ascii="仿宋_GB2312" w:hAnsi="仿宋_GB2312" w:cs="仿宋_GB2312" w:eastAsia="仿宋_GB2312"/>
                <w:sz w:val="20"/>
                <w:b/>
              </w:rPr>
              <w:t>实验台（核心产品）</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试验力加载范围：</w:t>
            </w:r>
            <w:r>
              <w:rPr>
                <w:rFonts w:ascii="仿宋_GB2312" w:hAnsi="仿宋_GB2312" w:cs="仿宋_GB2312" w:eastAsia="仿宋_GB2312"/>
                <w:sz w:val="20"/>
              </w:rPr>
              <w:t>0</w:t>
            </w:r>
            <w:r>
              <w:rPr>
                <w:rFonts w:ascii="仿宋_GB2312" w:hAnsi="仿宋_GB2312" w:cs="仿宋_GB2312" w:eastAsia="仿宋_GB2312"/>
                <w:sz w:val="20"/>
              </w:rPr>
              <w:t>-300N；</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摩擦力测量范围：</w:t>
            </w:r>
            <w:r>
              <w:rPr>
                <w:rFonts w:ascii="仿宋_GB2312" w:hAnsi="仿宋_GB2312" w:cs="仿宋_GB2312" w:eastAsia="仿宋_GB2312"/>
                <w:sz w:val="20"/>
              </w:rPr>
              <w:t>0</w:t>
            </w:r>
            <w:r>
              <w:rPr>
                <w:rFonts w:ascii="仿宋_GB2312" w:hAnsi="仿宋_GB2312" w:cs="仿宋_GB2312" w:eastAsia="仿宋_GB2312"/>
                <w:sz w:val="20"/>
              </w:rPr>
              <w:t>-100N</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摩擦力</w:t>
            </w:r>
            <w:r>
              <w:rPr>
                <w:rFonts w:ascii="仿宋_GB2312" w:hAnsi="仿宋_GB2312" w:cs="仿宋_GB2312" w:eastAsia="仿宋_GB2312"/>
                <w:sz w:val="20"/>
              </w:rPr>
              <w:t>测量精度</w:t>
            </w:r>
            <w:r>
              <w:rPr>
                <w:rFonts w:ascii="仿宋_GB2312" w:hAnsi="仿宋_GB2312" w:cs="仿宋_GB2312" w:eastAsia="仿宋_GB2312"/>
                <w:sz w:val="20"/>
              </w:rPr>
              <w:t>±0.5% F.S</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主轴无级变速范围：</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1000r/min；</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往复摩擦行程调节范围：</w:t>
            </w:r>
            <w:r>
              <w:rPr>
                <w:rFonts w:ascii="仿宋_GB2312" w:hAnsi="仿宋_GB2312" w:cs="仿宋_GB2312" w:eastAsia="仿宋_GB2312"/>
                <w:sz w:val="20"/>
              </w:rPr>
              <w:t>3-20mm；</w:t>
            </w:r>
          </w:p>
          <w:p>
            <w:pPr>
              <w:pStyle w:val="null3"/>
            </w:pPr>
            <w:r>
              <w:rPr>
                <w:rFonts w:ascii="仿宋_GB2312" w:hAnsi="仿宋_GB2312" w:cs="仿宋_GB2312" w:eastAsia="仿宋_GB2312"/>
                <w:sz w:val="20"/>
              </w:rPr>
              <w:t>▲</w:t>
            </w:r>
            <w:r>
              <w:rPr>
                <w:rFonts w:ascii="仿宋_GB2312" w:hAnsi="仿宋_GB2312" w:cs="仿宋_GB2312" w:eastAsia="仿宋_GB2312"/>
                <w:sz w:val="20"/>
              </w:rPr>
              <w:t>6.往复移动</w:t>
            </w:r>
            <w:r>
              <w:rPr>
                <w:rFonts w:ascii="仿宋_GB2312" w:hAnsi="仿宋_GB2312" w:cs="仿宋_GB2312" w:eastAsia="仿宋_GB2312"/>
                <w:sz w:val="20"/>
              </w:rPr>
              <w:t>频率</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Hz</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电化学腐蚀介质：中性、酸、碱性等溶液；</w:t>
            </w:r>
          </w:p>
          <w:p>
            <w:pPr>
              <w:pStyle w:val="null3"/>
              <w:numPr>
                <w:ilvl w:val="0"/>
                <w:numId w:val="1"/>
              </w:numPr>
            </w:pPr>
            <w:r>
              <w:rPr>
                <w:rFonts w:ascii="仿宋_GB2312" w:hAnsi="仿宋_GB2312" w:cs="仿宋_GB2312" w:eastAsia="仿宋_GB2312"/>
                <w:sz w:val="20"/>
              </w:rPr>
              <w:t>电化学工作站测量参数：电位范围</w:t>
            </w:r>
            <w:r>
              <w:rPr>
                <w:rFonts w:ascii="仿宋_GB2312" w:hAnsi="仿宋_GB2312" w:cs="仿宋_GB2312" w:eastAsia="仿宋_GB2312"/>
                <w:sz w:val="20"/>
              </w:rPr>
              <w:t>±10V；</w:t>
            </w:r>
          </w:p>
          <w:p>
            <w:pPr>
              <w:pStyle w:val="null3"/>
              <w:numPr>
                <w:ilvl w:val="0"/>
                <w:numId w:val="1"/>
              </w:numPr>
            </w:pPr>
            <w:r>
              <w:rPr>
                <w:rFonts w:ascii="仿宋_GB2312" w:hAnsi="仿宋_GB2312" w:cs="仿宋_GB2312" w:eastAsia="仿宋_GB2312"/>
                <w:sz w:val="20"/>
              </w:rPr>
              <w:t>电流范围</w:t>
            </w:r>
            <w:r>
              <w:rPr>
                <w:rFonts w:ascii="仿宋_GB2312" w:hAnsi="仿宋_GB2312" w:cs="仿宋_GB2312" w:eastAsia="仿宋_GB2312"/>
                <w:sz w:val="20"/>
              </w:rPr>
              <w:t>±1A；</w:t>
            </w:r>
          </w:p>
          <w:p>
            <w:pPr>
              <w:pStyle w:val="null3"/>
            </w:pPr>
            <w:r>
              <w:rPr>
                <w:rFonts w:ascii="仿宋_GB2312" w:hAnsi="仿宋_GB2312" w:cs="仿宋_GB2312" w:eastAsia="仿宋_GB2312"/>
                <w:sz w:val="20"/>
              </w:rPr>
              <w:t>10.</w:t>
            </w:r>
            <w:r>
              <w:rPr>
                <w:rFonts w:ascii="仿宋_GB2312" w:hAnsi="仿宋_GB2312" w:cs="仿宋_GB2312" w:eastAsia="仿宋_GB2312"/>
                <w:sz w:val="20"/>
              </w:rPr>
              <w:t>阻抗频率范围</w:t>
            </w:r>
            <w:r>
              <w:rPr>
                <w:rFonts w:ascii="仿宋_GB2312" w:hAnsi="仿宋_GB2312" w:cs="仿宋_GB2312" w:eastAsia="仿宋_GB2312"/>
                <w:sz w:val="20"/>
              </w:rPr>
              <w:t>10μHz-1MHz；</w:t>
            </w:r>
          </w:p>
          <w:p>
            <w:pPr>
              <w:pStyle w:val="null3"/>
            </w:pPr>
            <w:r>
              <w:rPr>
                <w:rFonts w:ascii="仿宋_GB2312" w:hAnsi="仿宋_GB2312" w:cs="仿宋_GB2312" w:eastAsia="仿宋_GB2312"/>
                <w:sz w:val="20"/>
              </w:rPr>
              <w:t>11.</w:t>
            </w:r>
            <w:r>
              <w:rPr>
                <w:rFonts w:ascii="仿宋_GB2312" w:hAnsi="仿宋_GB2312" w:cs="仿宋_GB2312" w:eastAsia="仿宋_GB2312"/>
                <w:sz w:val="20"/>
              </w:rPr>
              <w:t>摩擦腐蚀电流灵敏度</w:t>
            </w:r>
            <w:r>
              <w:rPr>
                <w:rFonts w:ascii="仿宋_GB2312" w:hAnsi="仿宋_GB2312" w:cs="仿宋_GB2312" w:eastAsia="仿宋_GB2312"/>
                <w:sz w:val="20"/>
              </w:rPr>
              <w:t>1pA；</w:t>
            </w:r>
          </w:p>
          <w:p>
            <w:pPr>
              <w:pStyle w:val="null3"/>
            </w:pPr>
            <w:r>
              <w:rPr>
                <w:rFonts w:ascii="仿宋_GB2312" w:hAnsi="仿宋_GB2312" w:cs="仿宋_GB2312" w:eastAsia="仿宋_GB2312"/>
                <w:sz w:val="20"/>
              </w:rPr>
              <w:t>12.</w:t>
            </w:r>
            <w:r>
              <w:rPr>
                <w:rFonts w:ascii="仿宋_GB2312" w:hAnsi="仿宋_GB2312" w:cs="仿宋_GB2312" w:eastAsia="仿宋_GB2312"/>
                <w:sz w:val="20"/>
              </w:rPr>
              <w:t>摩擦腐蚀槽压</w:t>
            </w:r>
            <w:r>
              <w:rPr>
                <w:rFonts w:ascii="仿宋_GB2312" w:hAnsi="仿宋_GB2312" w:cs="仿宋_GB2312" w:eastAsia="仿宋_GB2312"/>
                <w:sz w:val="20"/>
              </w:rPr>
              <w:t>±13V；</w:t>
            </w:r>
          </w:p>
          <w:p>
            <w:pPr>
              <w:pStyle w:val="null3"/>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温度变化范围：</w:t>
            </w:r>
            <w:r>
              <w:rPr>
                <w:rFonts w:ascii="仿宋_GB2312" w:hAnsi="仿宋_GB2312" w:cs="仿宋_GB2312" w:eastAsia="仿宋_GB2312"/>
                <w:sz w:val="20"/>
              </w:rPr>
              <w:t>20-200℃；</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.试验机总功率1KW-3KW，电压交流220V，50Hz</w:t>
            </w:r>
            <w:r>
              <w:rPr>
                <w:rFonts w:ascii="仿宋_GB2312" w:hAnsi="仿宋_GB2312" w:cs="仿宋_GB2312" w:eastAsia="仿宋_GB2312"/>
                <w:sz w:val="20"/>
              </w:rPr>
              <w:t>；</w:t>
            </w:r>
          </w:p>
          <w:p>
            <w:pPr>
              <w:pStyle w:val="null3"/>
            </w:pPr>
            <w:r>
              <w:rPr>
                <w:rFonts w:ascii="仿宋_GB2312" w:hAnsi="仿宋_GB2312" w:cs="仿宋_GB2312" w:eastAsia="仿宋_GB2312"/>
                <w:sz w:val="20"/>
              </w:rPr>
              <w:t>15.数据采集与软件：实时同步采集摩擦力、法向力等；支持 Excel/Word等格式的报告输出；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二、微动</w:t>
            </w:r>
            <w:r>
              <w:rPr>
                <w:rFonts w:ascii="仿宋_GB2312" w:hAnsi="仿宋_GB2312" w:cs="仿宋_GB2312" w:eastAsia="仿宋_GB2312"/>
                <w:sz w:val="20"/>
                <w:b/>
              </w:rPr>
              <w:t>摩擦</w:t>
            </w:r>
            <w:r>
              <w:rPr>
                <w:rFonts w:ascii="仿宋_GB2312" w:hAnsi="仿宋_GB2312" w:cs="仿宋_GB2312" w:eastAsia="仿宋_GB2312"/>
                <w:sz w:val="20"/>
                <w:b/>
              </w:rPr>
              <w:t>实验台</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试验力加载范围：</w:t>
            </w:r>
            <w:r>
              <w:rPr>
                <w:rFonts w:ascii="仿宋_GB2312" w:hAnsi="仿宋_GB2312" w:cs="仿宋_GB2312" w:eastAsia="仿宋_GB2312"/>
                <w:sz w:val="20"/>
              </w:rPr>
              <w:t>0</w:t>
            </w:r>
            <w:r>
              <w:rPr>
                <w:rFonts w:ascii="仿宋_GB2312" w:hAnsi="仿宋_GB2312" w:cs="仿宋_GB2312" w:eastAsia="仿宋_GB2312"/>
                <w:sz w:val="20"/>
              </w:rPr>
              <w:t>-300N；</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摩擦力测量范围：</w:t>
            </w:r>
            <w:r>
              <w:rPr>
                <w:rFonts w:ascii="仿宋_GB2312" w:hAnsi="仿宋_GB2312" w:cs="仿宋_GB2312" w:eastAsia="仿宋_GB2312"/>
                <w:sz w:val="20"/>
              </w:rPr>
              <w:t>0</w:t>
            </w:r>
            <w:r>
              <w:rPr>
                <w:rFonts w:ascii="仿宋_GB2312" w:hAnsi="仿宋_GB2312" w:cs="仿宋_GB2312" w:eastAsia="仿宋_GB2312"/>
                <w:sz w:val="20"/>
              </w:rPr>
              <w:t>-100N</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3.摩擦力测量精度±0.5% F.S</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微动摩擦振动幅度：</w:t>
            </w:r>
            <w:r>
              <w:rPr>
                <w:rFonts w:ascii="仿宋_GB2312" w:hAnsi="仿宋_GB2312" w:cs="仿宋_GB2312" w:eastAsia="仿宋_GB2312"/>
                <w:sz w:val="20"/>
              </w:rPr>
              <w:t>1</w:t>
            </w:r>
            <w:r>
              <w:rPr>
                <w:rFonts w:ascii="仿宋_GB2312" w:hAnsi="仿宋_GB2312" w:cs="仿宋_GB2312" w:eastAsia="仿宋_GB2312"/>
                <w:sz w:val="20"/>
              </w:rPr>
              <w:t>0-2000um</w:t>
            </w:r>
            <w:r>
              <w:rPr>
                <w:rFonts w:ascii="仿宋_GB2312" w:hAnsi="仿宋_GB2312" w:cs="仿宋_GB2312" w:eastAsia="仿宋_GB2312"/>
                <w:sz w:val="20"/>
              </w:rPr>
              <w:t>；</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控制精度</w:t>
            </w:r>
            <w:r>
              <w:rPr>
                <w:rFonts w:ascii="仿宋_GB2312" w:hAnsi="仿宋_GB2312" w:cs="仿宋_GB2312" w:eastAsia="仿宋_GB2312"/>
                <w:sz w:val="20"/>
              </w:rPr>
              <w:t>±5μm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微动振动频率</w:t>
            </w:r>
            <w:r>
              <w:rPr>
                <w:rFonts w:ascii="仿宋_GB2312" w:hAnsi="仿宋_GB2312" w:cs="仿宋_GB2312" w:eastAsia="仿宋_GB2312"/>
                <w:sz w:val="20"/>
              </w:rPr>
              <w:t>10-100Hz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.试验机总功率1KW-3KW，电压交流220V，50Hz</w:t>
            </w:r>
            <w:r>
              <w:rPr>
                <w:rFonts w:ascii="仿宋_GB2312" w:hAnsi="仿宋_GB2312" w:cs="仿宋_GB2312" w:eastAsia="仿宋_GB2312"/>
                <w:sz w:val="20"/>
              </w:rPr>
              <w:t>；</w:t>
            </w:r>
          </w:p>
          <w:p>
            <w:pPr>
              <w:pStyle w:val="null3"/>
            </w:pPr>
            <w:r>
              <w:rPr>
                <w:rFonts w:ascii="仿宋_GB2312" w:hAnsi="仿宋_GB2312" w:cs="仿宋_GB2312" w:eastAsia="仿宋_GB2312"/>
                <w:sz w:val="20"/>
              </w:rPr>
              <w:t>8.数据采集与软件：实时同步采集摩擦力、法向力等；支持 Excel/Word等格式的报告输出；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自合同签订后80天完成供货、安装、调试并交付使用。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进度款，设备安装调试完成，经甲方最终验收合格并签署《验收合格报告》后，乙方开具全额合法有效的增值税专用发票，达到付款条件起7个工作日内，支付合同总金额的30.0%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验收标准：（1）合同文本、合同附件、投标文件、招标文件；（2）国内相应的标准、规范；（3）其他适用的依据，性能测试验收（关键指标实测）连续运行8小时无故障。</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1质保期：自验收合格交付之日起1年； 2售后服务响应时间（质保期内）：乙方应当在收到甲方通知 24 小时内予以响应，并解决相关技术问题。若需现场维修，应在收到甲方通知后3个工作日内到达服务现场，并在 7 个工作日内解决故障问题。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15日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若交货后乙方在约定时间内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1.需执行现行国家相关标准、行业标准、地方标准或者其他标准、规范。 2.配件：免费提供1年的供正常使用的配件。 3.所有设备操作系统提供终身免费维保。 4.人员培训：提供相关操作人员培训资料。 5.产品保修期内，修理、更换、退货要求：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中标人按要求及时响应，否则将依据有关法律、法规进行追偿；（5）瑕疵责任：中标人提供产品应无任何瑕疵，符合国际、国内相关标准。如在使用过程中本产品存在隐蔽瑕疵造成事故而引发的纠纷，由中标人全额负责赔偿，并免费为采购人修复瑕疵或更新换代，期间产生的费用均由中标人承担。 6.中标单位应提供纸质投标文件三份（正本壹份、副本贰份），投标文件需包含目录、无少页、缺页、连续页码（或单独使用打码器打码）。 7.根据《国务院办公厅关于在政府采购中实施本国产品标准及相关政策的通知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《中华人民共和国政府采购法》第二十二条规定</w:t>
            </w:r>
          </w:p>
        </w:tc>
        <w:tc>
          <w:tcPr>
            <w:tcW w:type="dxa" w:w="3322"/>
          </w:tcPr>
          <w:p>
            <w:pPr>
              <w:pStyle w:val="null3"/>
            </w:pPr>
            <w:r>
              <w:rPr>
                <w:rFonts w:ascii="仿宋_GB2312" w:hAnsi="仿宋_GB2312" w:cs="仿宋_GB2312" w:eastAsia="仿宋_GB2312"/>
              </w:rPr>
              <w:t>(1)具有法人、其他组织或自然人，提供合法有效的营业执照(事业单位提供法人证书，自然人提供身份证)。(2)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本单位投标文件截止时间前一年内任意一个月已缴纳的缴纳增值税或企业所得税纳税证明或完税证明，依法免税的单位应提供相关证明材料。(4)提供本单位投标文件截止时间前近一年中任何一个月的社会缴纳社会保险的凭据(缴存单据或社会保险参保缴纳清单证明);依法不需要缴纳社会保障资金的投标人应提供相关文件证明。(5)提供具有履行合同所必需的设备和专业技术能力的承诺。(6)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投标方案说明.docx 中小企业声明函 履约保证金承诺函.docx 偏离表.docx 资格证明文件.docx 分项报价表.docx 投标函 残疾人福利性单位声明函 拒绝政府采购领域商业贿赂承诺书.docx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投标方案说明.docx 中小企业声明函 履约保证金承诺函.docx 偏离表.docx 资格证明文件.docx 分项报价表.docx 投标函 残疾人福利性单位声明函 拒绝政府采购领域商业贿赂承诺书.docx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投标方案说明.docx 中小企业声明函 履约保证金承诺函.docx 偏离表.docx 资格证明文件.docx 分项报价表.docx 投标函 残疾人福利性单位声明函 拒绝政府采购领域商业贿赂承诺书.docx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投标方案说明.docx 中小企业声明函 履约保证金承诺函.docx 偏离表.docx 资格证明文件.docx 分项报价表.docx 投标函 残疾人福利性单位声明函 拒绝政府采购领域商业贿赂承诺书.docx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投标方案说明.docx 中小企业声明函 履约保证金承诺函.docx 偏离表.docx 资格证明文件.docx 分项报价表.docx 投标函 残疾人福利性单位声明函 拒绝政府采购领域商业贿赂承诺书.docx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细项为核心指标，如发生负偏离视为非实质性响应，其投标将被认定为无效投标，▲细项为重点指标。 其中“▲”重要技术指标，全部满足或优于得21分，每负偏离一项扣3分，扣完为止。未标注“★”或“▲”的技术要求，全部满足或优于得9分，每负偏离一项扣0.6分，扣完为止。 ★、▲细项供应商需提供相应的功能证明材料（包括但不限于测试报告、产品彩页、官网功能截图等）予以证明技术性能的响应性，未提供视为负偏离。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供应商需提供完整、合理、规范的实施方案及措施。内容包含：①进度保证措施；②供货安装、调试方案（含时间安排）；③应急预案、验收方案及承诺。 2评审标准 完整性：方案须全面，对评审内容中的各项要求描述详细； 可实施性：切合本项目实际情况，实施步骤清晰、合理、可实现； 针对性：方案能够紧扣项目具体情况，不能套搬、脱离具体实际，内容科学合理。 3赋分依据（满分9分） ①-③：每完全满足一个评审细项标准得1分，满分9分。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仪器的基本操作和日常维护）等。1.培训方案内容完善、培训计划安排完全满足采购人使用设备需要，得2分； 2.培训方案内容有缺陷（不完整或缺少关键点）、培训计划安排非专门针对本项目或不适用本项目特性，但对项目目标实现具有促进作用，得1分； 3.未提供得0分。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根据项目实际需求提供售后服务方案，内容包含①售后服务内容及保障措施；②响应时间及方式；③备品备件、耗材及时更换的服务承诺内容。 2评审标准 完整性：方案须全面，对评审内容中的各项要求描述详细； 可实施性：切合本项目实际情况，实施步骤清晰、合理、可实现； 针对性：方案能够紧扣项目具体情况，不能套搬、脱离具体实际，内容科学合理。 3赋分依据（满分9分） ①-③：每完全满足一个评审细项标准得1分，满分9分。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根据投标人针对本项目拟投产品来源的相关证明材料进行评审。 产品相关证明材料齐全、货源渠道正规（代理商自主提供证明材料，制造商提供生产证明材料）、链条清晰完整，得1分； 未提供或证明材料不全得0分。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质保期1年为最低标准，每增加1年得1分，最多得2分。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投标人针对本项目提供有利于本项目开展的增值服务承诺，提供承诺得1分。无承诺或不符合项目实际不得分。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投标人提供自2023年1月1日起（以合同签订日期为准）至今实施的类似业绩，每提供1个业绩合同得2分，最高得6分。 注：投标人或制造商业绩均可，需提供业绩完整合同（签字盖章齐全、合同内容完整）及对应货款发票复印件或扫描件（任意一张），并加盖投标人公章，以上两种证明材料同时提供方可得分，否则不得分。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