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版本号：GXHC-20261120260526002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商州交警大队穿村过镇路段交通技术监控设备网络传输项目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GXHC-202611</w:t>
      </w:r>
      <w:r>
        <w:br/>
      </w:r>
      <w:r>
        <w:br/>
      </w:r>
      <w:r>
        <w:br/>
      </w:r>
    </w:p>
    <w:p>
      <w:pPr>
        <w:pStyle w:val="null3"/>
        <w:jc w:val="center"/>
        <w:outlineLvl w:val="2"/>
      </w:pPr>
      <w:r>
        <w:rPr>
          <w:rFonts w:ascii="仿宋_GB2312" w:hAnsi="仿宋_GB2312" w:cs="仿宋_GB2312" w:eastAsia="仿宋_GB2312"/>
          <w:sz w:val="28"/>
          <w:b/>
        </w:rPr>
        <w:t>商洛市公安局交通警察支队商州大队</w:t>
      </w:r>
    </w:p>
    <w:p>
      <w:pPr>
        <w:pStyle w:val="null3"/>
        <w:jc w:val="center"/>
        <w:outlineLvl w:val="2"/>
      </w:pPr>
      <w:r>
        <w:rPr>
          <w:rFonts w:ascii="仿宋_GB2312" w:hAnsi="仿宋_GB2312" w:cs="仿宋_GB2312" w:eastAsia="仿宋_GB2312"/>
          <w:sz w:val="28"/>
          <w:b/>
        </w:rPr>
        <w:t>陕西国信恒创工程咨询有限公司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陕西国信恒创工程咨询有限公司</w:t>
      </w:r>
      <w:r>
        <w:rPr>
          <w:rFonts w:ascii="仿宋_GB2312" w:hAnsi="仿宋_GB2312" w:cs="仿宋_GB2312" w:eastAsia="仿宋_GB2312"/>
        </w:rPr>
        <w:t>（以下简称“代理机构”）受</w:t>
      </w:r>
      <w:r>
        <w:rPr>
          <w:rFonts w:ascii="仿宋_GB2312" w:hAnsi="仿宋_GB2312" w:cs="仿宋_GB2312" w:eastAsia="仿宋_GB2312"/>
        </w:rPr>
        <w:t>商洛市公安局交通警察支队商州大队</w:t>
      </w:r>
      <w:r>
        <w:rPr>
          <w:rFonts w:ascii="仿宋_GB2312" w:hAnsi="仿宋_GB2312" w:cs="仿宋_GB2312" w:eastAsia="仿宋_GB2312"/>
        </w:rPr>
        <w:t>委托，拟对</w:t>
      </w:r>
      <w:r>
        <w:rPr>
          <w:rFonts w:ascii="仿宋_GB2312" w:hAnsi="仿宋_GB2312" w:cs="仿宋_GB2312" w:eastAsia="仿宋_GB2312"/>
        </w:rPr>
        <w:t>商州交警大队穿村过镇路段交通技术监控设备网络传输项目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GXHC-202611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商州交警大队穿村过镇路段交通技术监控设备网络传输项目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本项目包含穿村过镇路段交通技术监控设备传输线路76条、3年服务期内的线路维护及网络安全服务。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pPr>
      <w:r>
        <w:rPr>
          <w:rFonts w:ascii="仿宋_GB2312" w:hAnsi="仿宋_GB2312" w:cs="仿宋_GB2312" w:eastAsia="仿宋_GB2312"/>
        </w:rPr>
        <w:t>3、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4、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5、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6、非联合体不分包响应声明合法有效：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7、书面声明：提供具有履行本合同所必需的设备和专业技术能力的声明。</w:t>
      </w:r>
    </w:p>
    <w:p>
      <w:pPr>
        <w:pStyle w:val="null3"/>
      </w:pPr>
      <w:r>
        <w:rPr>
          <w:rFonts w:ascii="仿宋_GB2312" w:hAnsi="仿宋_GB2312" w:cs="仿宋_GB2312" w:eastAsia="仿宋_GB2312"/>
        </w:rPr>
        <w:t>8、保证金缴纳：提供本项目投标保证金交纳凭证；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商洛市公安局交通警察支队商州大队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商洛市公安局交通警察支队商州大队经办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09142386105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陕西国信恒创工程咨询有限公司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陕西省商洛市商州区陕西省商洛市商州区商郡城2幢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13209142772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开户名称：陕西国信恒创工程咨询有限公司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银行账号：61050167001400002546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商洛市公安局交通警察支队商州大队</w:t>
      </w:r>
      <w:r>
        <w:rPr>
          <w:rFonts w:ascii="仿宋_GB2312" w:hAnsi="仿宋_GB2312" w:cs="仿宋_GB2312" w:eastAsia="仿宋_GB2312"/>
        </w:rPr>
        <w:t>和</w:t>
      </w:r>
      <w:r>
        <w:rPr>
          <w:rFonts w:ascii="仿宋_GB2312" w:hAnsi="仿宋_GB2312" w:cs="仿宋_GB2312" w:eastAsia="仿宋_GB2312"/>
        </w:rPr>
        <w:t>陕西国信恒创工程咨询有限公司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商洛市公安局交通警察支队商州大队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陕西国信恒创工程咨询有限公司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商洛市公安局交通警察支队商州大队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陕西国信恒创工程咨询有限公司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1、日常验收：网络实时连通、无重大中断，故障处置及时； 2、阶段性验收 / 终验：乙方提供完整巡检记录、故障处置台账、运维报告，甲方核查网络连通质量、服务响应情况，验收合格签署验收意见； 3、验收不合格的，乙方须限期整改，整改后仍不合格，甲方有权扣减相应服务费或解除合同。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联系人：林霄</w:t>
      </w:r>
    </w:p>
    <w:p>
      <w:pPr>
        <w:pStyle w:val="null3"/>
      </w:pPr>
      <w:r>
        <w:rPr>
          <w:rFonts w:ascii="仿宋_GB2312" w:hAnsi="仿宋_GB2312" w:cs="仿宋_GB2312" w:eastAsia="仿宋_GB2312"/>
        </w:rPr>
        <w:t>联系电话：13209142772</w:t>
      </w:r>
    </w:p>
    <w:p>
      <w:pPr>
        <w:pStyle w:val="null3"/>
      </w:pPr>
      <w:r>
        <w:rPr>
          <w:rFonts w:ascii="仿宋_GB2312" w:hAnsi="仿宋_GB2312" w:cs="仿宋_GB2312" w:eastAsia="仿宋_GB2312"/>
        </w:rPr>
        <w:t>地址：陕西省商洛市商州区商郡城2幢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本项目包含穿村过镇路段交通技术监控设备传输线路76条、3年服务期内的线路维护及网络安全服务。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其他电信和信息传输服务</w:t>
            </w:r>
          </w:p>
        </w:tc>
        <w:tc>
          <w:tcPr>
            <w:tcW w:type="dxa" w:w="755"/>
          </w:tcPr>
          <w:p>
            <w:pPr>
              <w:pStyle w:val="null3"/>
              <w:jc w:val="right"/>
            </w:pPr>
            <w:r>
              <w:rPr>
                <w:rFonts w:ascii="仿宋_GB2312" w:hAnsi="仿宋_GB2312" w:cs="仿宋_GB2312" w:eastAsia="仿宋_GB2312"/>
              </w:rPr>
              <w:t>76.00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点位</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标的名称：其他电信和信息传输服务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1、传输服务：76条，运维时间3年。</w:t>
            </w:r>
          </w:p>
          <w:p>
            <w:pPr>
              <w:pStyle w:val="null3"/>
            </w:pPr>
            <w:r>
              <w:rPr>
                <w:rFonts w:ascii="仿宋_GB2312" w:hAnsi="仿宋_GB2312" w:cs="仿宋_GB2312" w:eastAsia="仿宋_GB2312"/>
              </w:rPr>
              <w:t>参数/要求：速率不低于100M；丢包率低于1%；时延不高于10毫秒。</w:t>
            </w:r>
          </w:p>
          <w:p>
            <w:pPr>
              <w:pStyle w:val="null3"/>
            </w:pPr>
            <w:r>
              <w:rPr>
                <w:rFonts w:ascii="仿宋_GB2312" w:hAnsi="仿宋_GB2312" w:cs="仿宋_GB2312" w:eastAsia="仿宋_GB2312"/>
              </w:rPr>
              <w:t>备注说明：本项目报价应</w:t>
            </w:r>
            <w:r>
              <w:rPr>
                <w:rFonts w:ascii="仿宋_GB2312" w:hAnsi="仿宋_GB2312" w:cs="仿宋_GB2312" w:eastAsia="仿宋_GB2312"/>
                <w:color w:val="000000"/>
              </w:rPr>
              <w:t>包含链路所需的光纤及传输设备、每年的维护费、管理费税金等。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w:t>
            </w:r>
            <w:r>
              <w:rPr>
                <w:rFonts w:ascii="仿宋_GB2312" w:hAnsi="仿宋_GB2312" w:cs="仿宋_GB2312" w:eastAsia="仿宋_GB2312"/>
                <w:color w:val="000000"/>
              </w:rPr>
              <w:t>维护服务及</w:t>
            </w:r>
            <w:r>
              <w:rPr>
                <w:rFonts w:ascii="仿宋_GB2312" w:hAnsi="仿宋_GB2312" w:cs="仿宋_GB2312" w:eastAsia="仿宋_GB2312"/>
                <w:color w:val="000000"/>
              </w:rPr>
              <w:t>网络安全服务：76条，运维时间3年。</w:t>
            </w:r>
          </w:p>
          <w:p>
            <w:pPr>
              <w:pStyle w:val="null3"/>
              <w:jc w:val="left"/>
            </w:pPr>
            <w:r>
              <w:rPr>
                <w:rFonts w:ascii="仿宋_GB2312" w:hAnsi="仿宋_GB2312" w:cs="仿宋_GB2312" w:eastAsia="仿宋_GB2312"/>
                <w:color w:val="000000"/>
              </w:rPr>
              <w:t>参数/要求：</w:t>
            </w:r>
          </w:p>
          <w:p>
            <w:pPr>
              <w:pStyle w:val="null3"/>
              <w:jc w:val="left"/>
            </w:pPr>
            <w:r>
              <w:rPr>
                <w:rFonts w:ascii="仿宋_GB2312" w:hAnsi="仿宋_GB2312" w:cs="仿宋_GB2312" w:eastAsia="仿宋_GB2312"/>
              </w:rPr>
              <w:t>（1）支持IPSec VPN功能，支持IKEV1、IKEV2、国密的加密类型支持SM3、SM4，支持AES、DES、3DES、MD5、SHA-1等VPN加密、认证算法，支持对隧道内网络流量进行监控展示；（提供截图）</w:t>
            </w:r>
            <w:r>
              <w:br/>
            </w:r>
            <w:r>
              <w:rPr>
                <w:rFonts w:ascii="仿宋_GB2312" w:hAnsi="仿宋_GB2312" w:cs="仿宋_GB2312" w:eastAsia="仿宋_GB2312"/>
              </w:rPr>
              <w:t xml:space="preserve">      ISP地址库：内置世界各国ISP地址库；（提供截图）</w:t>
            </w:r>
            <w:r>
              <w:br/>
            </w:r>
            <w:r>
              <w:rPr>
                <w:rFonts w:ascii="仿宋_GB2312" w:hAnsi="仿宋_GB2312" w:cs="仿宋_GB2312" w:eastAsia="仿宋_GB2312"/>
              </w:rPr>
              <w:t xml:space="preserve">      SDWAN：支持加速功能，在设备对称部署情况下，在链路存在丢包、延迟、抖动等因素时，改善网络环境中的应用性能解决数据丢包、延迟等问题；（提供截图）</w:t>
            </w:r>
            <w:r>
              <w:br/>
            </w:r>
            <w:r>
              <w:rPr>
                <w:rFonts w:ascii="仿宋_GB2312" w:hAnsi="仿宋_GB2312" w:cs="仿宋_GB2312" w:eastAsia="仿宋_GB2312"/>
              </w:rPr>
              <w:t xml:space="preserve"> （2）IPv6安全防护：支持基于IPv6的入侵防御、病毒防御、DDOS、WEB防护等一系列安全防护功能；支持基于IPv6的连接限制；（提供截图）</w:t>
            </w:r>
            <w:r>
              <w:br/>
            </w:r>
            <w:r>
              <w:rPr>
                <w:rFonts w:ascii="仿宋_GB2312" w:hAnsi="仿宋_GB2312" w:cs="仿宋_GB2312" w:eastAsia="仿宋_GB2312"/>
              </w:rPr>
              <w:t xml:space="preserve">      支持独立的入侵防护规则特征库，特征总数在7000条以上，能对常见漏洞进行安全防护；可以对IPS事件进行抓包，命中事件后，可提取相关报文；支持针对地址设置入侵防御白名单，支持攻击规则搜索以及自定义；（提供截图）</w:t>
            </w:r>
            <w:r>
              <w:br/>
            </w:r>
            <w:r>
              <w:rPr>
                <w:rFonts w:ascii="仿宋_GB2312" w:hAnsi="仿宋_GB2312" w:cs="仿宋_GB2312" w:eastAsia="仿宋_GB2312"/>
              </w:rPr>
              <w:t xml:space="preserve">      病毒防护：病毒特征库规模超过1200万；（提供截图)</w:t>
            </w:r>
            <w:r>
              <w:br/>
            </w:r>
            <w:r>
              <w:rPr>
                <w:rFonts w:ascii="仿宋_GB2312" w:hAnsi="仿宋_GB2312" w:cs="仿宋_GB2312" w:eastAsia="仿宋_GB2312"/>
              </w:rPr>
              <w:t xml:space="preserve"> （3）资产安全（IOT）：对扫描资产进行展示。展示资产名称、IP地址、MAC地址、厂商名称等信息，支持对资产的维护操作包括审批、删除、导入导出等；支持资产列表基于资产类型、审批状态、资产状态的检索；支持自定义资产的添加、删除、导入导出；支持根据资产一键生成ip-mac绑定、一键生成黑名单。支持单独手动扫描资产；（IP/网段）     </w:t>
            </w:r>
            <w:r>
              <w:br/>
            </w:r>
            <w:r>
              <w:rPr>
                <w:rFonts w:ascii="仿宋_GB2312" w:hAnsi="仿宋_GB2312" w:cs="仿宋_GB2312" w:eastAsia="仿宋_GB2312"/>
              </w:rPr>
              <w:t xml:space="preserve"> （4）批量管理集中配置：支持设备的状态集中监控，包括设备运行状态、设备名称、设备类型、设备IP地址、CPU使用率、内存使用率、磁盘剩余空间、版本信息、流量信息等。（要求提供截图并加盖厂商公章）</w:t>
            </w:r>
            <w:r>
              <w:br/>
            </w:r>
            <w:r>
              <w:rPr>
                <w:rFonts w:ascii="仿宋_GB2312" w:hAnsi="仿宋_GB2312" w:cs="仿宋_GB2312" w:eastAsia="仿宋_GB2312"/>
              </w:rPr>
              <w:t xml:space="preserve">      支持统一配置设备的特征库升级参数，包括升级频率、升级时间、升级服务器IP地址等；可选择下发至所有设备或指定设备/设备组；（要求提供截图并加盖厂商公章））</w:t>
            </w:r>
            <w:r>
              <w:br/>
            </w:r>
            <w:r>
              <w:rPr>
                <w:rFonts w:ascii="仿宋_GB2312" w:hAnsi="仿宋_GB2312" w:cs="仿宋_GB2312" w:eastAsia="仿宋_GB2312"/>
              </w:rPr>
              <w:t xml:space="preserve"> （5）平台自身可作为统一升级中心，为安全引擎提供特征库升级服务；（要求提供截图并加盖厂商公章）</w:t>
            </w:r>
            <w:r>
              <w:br/>
            </w:r>
            <w:r>
              <w:rPr>
                <w:rFonts w:ascii="仿宋_GB2312" w:hAnsi="仿宋_GB2312" w:cs="仿宋_GB2312" w:eastAsia="仿宋_GB2312"/>
              </w:rPr>
              <w:t xml:space="preserve">      支持基于威胁情报云的动态防护功能，防火墙支持将用户对互联网的访问信息发送至威胁情报云进行实时情报查询及防护。（提供防火墙配置界面及威胁情报云端界面截图）威胁情报支持离线特征库匹配 。                                                                                                        </w:t>
            </w:r>
          </w:p>
          <w:p>
            <w:pPr>
              <w:pStyle w:val="null3"/>
            </w:pPr>
            <w:r>
              <w:rPr>
                <w:rFonts w:ascii="仿宋_GB2312" w:hAnsi="仿宋_GB2312" w:cs="仿宋_GB2312" w:eastAsia="仿宋_GB2312"/>
              </w:rPr>
              <w:t>备注说明：本项目报价应包含链路所需的光纤及传输设备、每年的维护费、管理费税金等。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包含项目负责人1人、网络服务及安装调试人员≥5人。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连接调试60天，服务周期3年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商洛市商州区境内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 （1）货物（如有）到达甲方指定地点后，甲方根据合同要求，进行外观验收，确认产地、规格、型号和数量。 （2）乙方应出具一份符合合同规定的检验报告单，检验报告单可作为甲方验收的依据，但不能作为有关货物质量、规格、数量或性能的最终检验结果。 2、甲方确认乙方的自检内容后，组织乙方（必要时请有关专家）按照合同的内容和合同验收标准进行最终验收。 3、乙方向甲方提交货物、服务实施过程中的所有资料，以便甲方日后管理和维护。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进度款，合同签订后，乙方按照采购要求及合同规定完成项目内容，验收合格之日起，达到付款条件起10个工作日内，支付合同总金额的40.0%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进度款，第一次付款满一年后，，达到付款条件起10个工作日内，支付合同总金额的30.0%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进度款，第二次付款满一年后，，达到付款条件起10个工作日内，支付合同总金额的30.0%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1、按《中华人民共和国民法典》中的相关条款执行，双方必须遵守本合同并执行合同中的各项规定，保证本合同的正常履行。 2、未按招标文件要求提供设备质量不能满足技术要求，采购人会同监督单位有权终止合同，甚至对供应商违约行为进行追究。 3、如因供应商工作人员在履行职务过程中的的疏忽、失职、过错等故意或者过失原因给甲方造成损失或侵害，包括但不限于甲方本身的财产损失、由此而导致的采购人对任何第三方的法律责任等，供应商对此均应承担全部的赔偿责任。 二、争议解决方式 双方如发生争议，应协商解决；如协商不成，任何一方应向采购人所在地人民法院提出诉讼。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线下提交响应文件正本壹份、副本贰份、电子版一份（U盘一份）。（1）提交纸质版响应文件截止时间及开标时间：开标前；（2）提交纸质版响应文件地点：商洛市商郡城北门3＃楼2单元101室；（3）提交纸质版响应文件密封要求：投标文件正本一个封袋、副本一个封袋、电子版文件放置正本封袋内，电子版文件须粘贴注明投标人名称的标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近年度经审计的财务报告(包含审计报告和审计报告中所涉及的财务报表和报表附注)，②或提供截至资格预审申请文件提交截止日一年内银行出具的资信证明，③供应商注册时间截至资格预审申请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提供本项目投标保证金交纳凭证；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响应文件上法定代表人或其授权代表人的签字齐全并加盖电子公章。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服务方案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提供近三年至今类似业绩：每提供一份得2分，最多得6分。 评分依据：提供中标通知书/业绩合同扫描件加盖公章，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供应商具有TL9000 质量管理体系认证证书、ISO27001 信息安全管理体系认证证书、ISO20000IT 服务管理体系认证证书，全部提供得6分，每少提供一项扣2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（1）投标人拟投入本项目服务团队人员不少于 5 人，项目负责人具备同类网络传输相关项目从业经验，岗位分工清晰合理，满足以上条件得3-5分；团队岗位设置混乱、人员配置不合理，投入服务人员不足5人，或未提供项目负责人同类项目经验佐证材料，本项酌情计0-2分。 （2）项目负责人每提供1项有效相关专业证书加1分，最高加3分（相关证书包含PMP项目管理师、互联网技术类等）。 所有拟投入项目人员均须提供投标人连续 3 个月由本单位缴纳的社保缴纳证明；若人员社保由正规人事代理机构代缴，须同步提交有效人事代理服务合同/合作协议，未按要求提供完整有效佐证材料的，对应人员不计入评审计分范围，本项不予得分。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整体方案描述符合项目总体技术方案要求和磋商文件要求，供应商对项目建设背景、建设目标理解充分，符合本项目建设总体要求，技术方案能全面满足用户需求，方案设计科学有效，合理先进、安全可靠、经济实用，完全满足用户需求。 ①方案针对性强、贴合项目需求、服务逻辑完整、管理流程清晰得(12-15分]； ②方案基本合理、逻辑一般、少量套用通用模板得(8-11分]； ③方案简单，基本能保证项目实施计(4-7分] ④方案粗糙、针对性差、不符合本项目用工要求得(1-3分]；未提供方案不得分。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w:t>
            </w:r>
          </w:p>
        </w:tc>
        <w:tc>
          <w:tcPr>
            <w:tcW w:type="dxa" w:w="2492"/>
          </w:tcPr>
          <w:p>
            <w:pPr>
              <w:pStyle w:val="null3"/>
            </w:pPr>
            <w:r>
              <w:rPr>
                <w:rFonts w:ascii="仿宋_GB2312" w:hAnsi="仿宋_GB2312" w:cs="仿宋_GB2312" w:eastAsia="仿宋_GB2312"/>
              </w:rPr>
              <w:t>项目组织实施计划完整可行，保障措施可靠，能够保证按期供货，具有明确的项目组织机构及实施方案，评标委员会从以下方面进行比较后赋分。未提供不计分。（15分） （1）维护服务及网络安全服务技术方案；针对项目特性，提供的设备、线路连接方案是否科学合理，能否适配原有处理系统等(0-5）。 （2）质量及运维保证措施（0-5分）。 （3）产品运输、调试等方面保证措施（0-5分）。 评审依据：内容具体、完整、详细、全面的计详尽可行的，得(4-5分]； 内容欠缺、薄弱的计(2-3分]； 内容严重欠缺、薄弱的计(0-1分]；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难点分析</w:t>
            </w:r>
          </w:p>
        </w:tc>
        <w:tc>
          <w:tcPr>
            <w:tcW w:type="dxa" w:w="2492"/>
          </w:tcPr>
          <w:p>
            <w:pPr>
              <w:pStyle w:val="null3"/>
            </w:pPr>
            <w:r>
              <w:rPr>
                <w:rFonts w:ascii="仿宋_GB2312" w:hAnsi="仿宋_GB2312" w:cs="仿宋_GB2312" w:eastAsia="仿宋_GB2312"/>
              </w:rPr>
              <w:t>供应商针对本项目调查存在的难点、重点进行分析以及有对应的措施。措施完善可行，分析透彻计(5-7]分；分析角度理解正确，措施可行计(3-5]分；措施简单，分析角度欠缺的计(0.1-2]分；未提供不得分。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服务质量技术组织措施</w:t>
            </w:r>
          </w:p>
        </w:tc>
        <w:tc>
          <w:tcPr>
            <w:tcW w:type="dxa" w:w="2492"/>
          </w:tcPr>
          <w:p>
            <w:pPr>
              <w:pStyle w:val="null3"/>
            </w:pPr>
            <w:r>
              <w:rPr>
                <w:rFonts w:ascii="仿宋_GB2312" w:hAnsi="仿宋_GB2312" w:cs="仿宋_GB2312" w:eastAsia="仿宋_GB2312"/>
              </w:rPr>
              <w:t>提供确保本项目质量的技术组织措施 技术组织措施方案有效可行、具备完善的内部管理架构、工作流程、信息反馈渠道，计(6-8分]； 技术组织措施方案较合理、内部管理架构较完善，措施一般，计(3-6分]； 技术组织方案不合理、内部管理架构不完善，计(1-3分]。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供应商结合本项目实施特点，充分考虑服务难点、要点；应对网络故障等常见突发事件制定专项应急预案； ①应急组织机构清晰，明确岗位应急分工，兼顾采购要求，响应机制完善，贴合项目管理要求，得(8-10分]。 ②应急预案内容较完整，包含主要突发事件，具备基础处置流程，岗位分工简单，缺少物资保障或计划得(4-7分]。 内容严重欠缺、无针对性的计(0-3分]。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1、售后服务方案及售后服务承诺详细、具体、可行（包括投标人售后服务网点的设定、拟投入售后服务人员配置情况、项目交付用户后出现故障响应时间等），根据响应情况计0-5分； 内容具体、完整、详细、全面的计详尽可行的，得(4-5分]； 内容欠缺、薄弱的计(2-3分]； 内容严重欠缺、薄弱的计(0-1分]；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技术支持与升级服务</w:t>
            </w:r>
          </w:p>
        </w:tc>
        <w:tc>
          <w:tcPr>
            <w:tcW w:type="dxa" w:w="2492"/>
          </w:tcPr>
          <w:p>
            <w:pPr>
              <w:pStyle w:val="null3"/>
            </w:pPr>
            <w:r>
              <w:rPr>
                <w:rFonts w:ascii="仿宋_GB2312" w:hAnsi="仿宋_GB2312" w:cs="仿宋_GB2312" w:eastAsia="仿宋_GB2312"/>
              </w:rPr>
              <w:t>制定详细技术支持计划，提供远程、现场多种技术支持方式；承诺定期免费升级安全软件，适配业务发展与技术迭代，得 (2-3分]。 技术支持手段单一，升级计划模糊，得 (0-1分]。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根据采购人需要，为采购人提供超出常规服务范围的服务，或者采用超出常规的服务方法提供的服务。根据提供的增值服务承诺书的内容，由磋商小组自主赋分，（1-3分）。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响应文件中对服务费用、内容及范围、标准等合同主要条款要求全面响应，无详细具体合同主要条款响应说明得1-4分，无合同主要条款响应说明不得分。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1.经初审合格的响应文件，其磋商报价为有效报价。对符合政策性扣减的有效磋商报价进行政策性扣减，并依据扣减后的价格（评审价格）进行价格评审。 2.最低有效的最后报价为基准价，计10分 价格分P=10×Pmin/ Pn Pmin：合格供应商投标报价中的最低价，Pn：第n个供应商的投标报价；价格分四舍五入，保留两位小数。 经评审委员会一致认定，供应商的磋商报价低于公认市场成本，或超过采购预算,其投标将被拒绝，按无效处理。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详见附件：商州交警大队穿村过镇路段交通技术监控设备网络传输项目（合同）(1).docx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