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96D45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接采购人通知，对本项目采购包2（中子周围剂量当量（率）仪等）部分技术参数变更如下：</w:t>
      </w:r>
    </w:p>
    <w:p w14:paraId="3A41DA15">
      <w:pPr>
        <w:outlineLvl w:val="9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分光光度计：</w:t>
      </w:r>
    </w:p>
    <w:p w14:paraId="57E6894A">
      <w:pPr>
        <w:numPr>
          <w:ilvl w:val="0"/>
          <w:numId w:val="0"/>
        </w:numPr>
        <w:outlineLvl w:val="9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 w:bidi="ar-SA"/>
        </w:rPr>
        <w:t>1.</w:t>
      </w:r>
      <w:r>
        <w:rPr>
          <w:rFonts w:hint="eastAsia" w:ascii="仿宋" w:hAnsi="仿宋" w:eastAsia="仿宋" w:cs="仿宋"/>
          <w:lang w:val="en-US" w:eastAsia="zh-CN"/>
        </w:rPr>
        <w:t>删除参数2.2光源要求；</w:t>
      </w:r>
    </w:p>
    <w:p w14:paraId="5A142ECC">
      <w:pPr>
        <w:keepNext/>
        <w:keepLines/>
        <w:numPr>
          <w:ilvl w:val="0"/>
          <w:numId w:val="0"/>
        </w:numPr>
        <w:spacing w:beforeLines="0" w:beforeAutospacing="0" w:afterLines="0" w:afterAutospacing="0" w:line="360" w:lineRule="auto"/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2.参数2.3变更为：波长范围：325–1100nm（必须覆盖此范围，波长范围宽更好）；</w:t>
      </w:r>
    </w:p>
    <w:p w14:paraId="774A3D33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3.参数2.4变更为：波长准确度：≤±2.0nm；</w:t>
      </w:r>
    </w:p>
    <w:p w14:paraId="4A49192C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4.参数2.5变更为：光谱带宽：≤2.0nm（固定或可调）；</w:t>
      </w:r>
    </w:p>
    <w:p w14:paraId="48D854AA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5.参数2.6变更为：波长重复性：≤1.0nm；</w:t>
      </w:r>
    </w:p>
    <w:p w14:paraId="158E0820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6.参数2.9变更为：杂散光：≤0.1%T；</w:t>
      </w:r>
    </w:p>
    <w:p w14:paraId="1C317947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7.参数2.11变更为：光度重复性：≤0.002A（0.5~1.0A）；</w:t>
      </w:r>
    </w:p>
    <w:p w14:paraId="0CF7E9DD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8.参数2.13变更为：基线平直度：≤±0.002A；</w:t>
      </w:r>
    </w:p>
    <w:p w14:paraId="69D60D75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9.参数2.14变更为：光度稳定性：预热完成后，光度漂移≤±0.002A/h @500nm；</w:t>
      </w:r>
    </w:p>
    <w:p w14:paraId="220B3DC7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10.参数2.15变更为：显示范围：0-200%T, -0.3-2.5A（必须覆盖范围，范围宽更好）,读数显示小数点后3位；</w:t>
      </w:r>
    </w:p>
    <w:p w14:paraId="0B899F82">
      <w:pPr>
        <w:outlineLvl w:val="9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中子周围剂量当量（率）仪</w:t>
      </w:r>
    </w:p>
    <w:p w14:paraId="7C183095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参数2变更为：仪器满足能量响应、剂量测量、γ甄别等性能指标（可采用³He正比计数管搭配实心球形聚乙烯慢化体结构实现）。</w:t>
      </w:r>
    </w:p>
    <w:p w14:paraId="15A7B79A">
      <w:pPr>
        <w:outlineLvl w:val="9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氡及其子体测量仪</w:t>
      </w:r>
    </w:p>
    <w:p w14:paraId="6C791A94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 w:bidi="ar-SA"/>
        </w:rPr>
        <w:t>1.</w:t>
      </w:r>
      <w:r>
        <w:rPr>
          <w:rFonts w:hint="eastAsia" w:ascii="仿宋" w:hAnsi="仿宋" w:eastAsia="仿宋" w:cs="仿宋"/>
          <w:lang w:val="en-US" w:eastAsia="zh-CN"/>
        </w:rPr>
        <w:t>参数2变更为：仪器必须同时实现氡(²²²Rn)、钍射气(²²⁰Rn)、氡子体α潜能浓度（平衡当量氡浓度）测量，可采用泵吸静电收集α能谱法实现。</w:t>
      </w:r>
    </w:p>
    <w:p w14:paraId="79607240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 w:bidi="ar-SA"/>
        </w:rPr>
        <w:t>2.</w:t>
      </w:r>
      <w:r>
        <w:rPr>
          <w:rFonts w:hint="eastAsia" w:ascii="仿宋" w:hAnsi="仿宋" w:eastAsia="仿宋" w:cs="仿宋"/>
          <w:lang w:val="en-US" w:eastAsia="zh-CN"/>
        </w:rPr>
        <w:t>参数3变更为：仪器可实时输出α谱线用于数据溯源与质控核查，可采用半导体α探测器（钝化离子注入平面硅PIPS或合格金硅面垒探测器）。</w:t>
      </w:r>
    </w:p>
    <w:p w14:paraId="6913D97F">
      <w:pPr>
        <w:outlineLvl w:val="9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粉尘采样器</w:t>
      </w:r>
    </w:p>
    <w:p w14:paraId="4D8B7FB6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参数6变更为：供电/充电接口：优先选用带线缆的标准接口；如采用充电底座触点式接口，应保证接触可靠、不易受粉尘污染，满足整机防爆及长时间稳定充电要求。</w:t>
      </w:r>
    </w:p>
    <w:p w14:paraId="218810E3">
      <w:pPr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br w:type="page"/>
      </w:r>
    </w:p>
    <w:p w14:paraId="751CFDCB">
      <w:pPr>
        <w:outlineLvl w:val="9"/>
        <w:rPr>
          <w:rFonts w:hint="eastAsia" w:ascii="仿宋" w:hAnsi="仿宋" w:eastAsia="仿宋" w:cs="仿宋"/>
          <w:b/>
          <w:bCs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lang w:val="en-US" w:eastAsia="zh-CN"/>
        </w:rPr>
        <w:t>倍频程声级计</w:t>
      </w:r>
    </w:p>
    <w:p w14:paraId="45AE053F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参数1变更为：符合GB/T 3785.1-2023 1级声级计标准，配套标准声源宜为同品牌；如采用不同品牌标准声源，其精度等级应不低于一级，并提供相应校准证书或型式批准证书，标称声压级94dB/114dB。</w:t>
      </w:r>
    </w:p>
    <w:p w14:paraId="7E04458F">
      <w:pPr>
        <w:outlineLvl w:val="9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积分声级计</w:t>
      </w:r>
    </w:p>
    <w:p w14:paraId="17E1821A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1.参数1变更为：整机性能：符合GB/T 3785.1-2023 1级及以上声级计标准；</w:t>
      </w:r>
    </w:p>
    <w:p w14:paraId="737491C6">
      <w:pPr>
        <w:outlineLvl w:val="9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2.参数5变更为：标准声源配套：配套标准声源宜为同品牌；如采用不同品牌标准声源，其精度等级应不低于一级，并提供相应校准证书或型式批准证书，标称声压级94dB/114dB。</w:t>
      </w:r>
    </w:p>
    <w:p w14:paraId="2C6F9A2F">
      <w:pPr>
        <w:outlineLvl w:val="9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L型皮托管</w:t>
      </w:r>
    </w:p>
    <w:p w14:paraId="1D9BF9D2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参数2变更为：标准L型皮托管，与所投微压计配套使用，符合JJG 518-2023及本项目准确度要求；</w:t>
      </w:r>
    </w:p>
    <w:p w14:paraId="02BBA815">
      <w:pPr>
        <w:outlineLvl w:val="9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电磁场测定仪（工频电场）</w:t>
      </w:r>
    </w:p>
    <w:p w14:paraId="37AC9769">
      <w:pPr>
        <w:outlineLvl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参数1变更为：整机性能:符合GBZ/T 189.3-2018电场磁场检测要求。</w:t>
      </w:r>
    </w:p>
    <w:p w14:paraId="3CBD9B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default" w:ascii="仿宋" w:hAnsi="仿宋" w:eastAsia="仿宋" w:cs="仿宋"/>
          <w:b w:val="0"/>
          <w:sz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sz w:val="24"/>
          <w:lang w:val="en-US" w:eastAsia="zh-CN" w:bidi="ar-SA"/>
        </w:rPr>
        <w:t>其他内容不变。</w:t>
      </w:r>
    </w:p>
    <w:p w14:paraId="3222F2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="仿宋" w:hAnsi="仿宋" w:eastAsia="仿宋" w:cs="仿宋"/>
          <w:b w:val="0"/>
          <w:sz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sz w:val="24"/>
          <w:lang w:val="en-US" w:eastAsia="zh-CN" w:bidi="ar-SA"/>
        </w:rPr>
        <w:t>本项目延期开标，提交投标文件截止时间、开标时间变更为：2026年11月23日09时30分。</w:t>
      </w:r>
    </w:p>
    <w:p w14:paraId="717B517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A72C23"/>
    <w:rsid w:val="4828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60" w:lineRule="auto"/>
    </w:pPr>
    <w:rPr>
      <w:rFonts w:ascii="Times New Roman" w:hAnsi="Times New Roman" w:eastAsia="宋体" w:cstheme="minorBidi"/>
      <w:sz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rFonts w:ascii="Arial" w:hAnsi="Arial"/>
      <w:b/>
      <w:sz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872</Words>
  <Characters>1068</Characters>
  <Lines>0</Lines>
  <Paragraphs>0</Paragraphs>
  <TotalTime>0</TotalTime>
  <ScaleCrop>false</ScaleCrop>
  <LinksUpToDate>false</LinksUpToDate>
  <CharactersWithSpaces>1076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2026-11-05T12:02:00Z</dcterms:created>
  <dc:creator>Administrator</dc:creator>
  <cp:lastModifiedBy>夏日微凉</cp:lastModifiedBy>
  <dcterms:modified xsi:type="dcterms:W3CDTF">2026-11-05T12:08:28Z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E57525B25C994F2CB1CE6B294969F425_12</vt:lpwstr>
  </property>
</Properties>
</file>