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E0F65">
      <w:pPr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已标价工程量清单</w:t>
      </w:r>
    </w:p>
    <w:p w14:paraId="63B14A5D">
      <w:pPr>
        <w:jc w:val="center"/>
        <w:rPr>
          <w:b/>
          <w:bCs/>
          <w:sz w:val="32"/>
          <w:szCs w:val="36"/>
        </w:rPr>
      </w:pPr>
    </w:p>
    <w:p w14:paraId="7BE95386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1.已标价工程量清单应按工程量清单报价相关要求进行填报；</w:t>
      </w:r>
    </w:p>
    <w:p w14:paraId="41362614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</w:rPr>
        <w:t>.已标价工程量清单的扉页(仅指投标总价扉页)应由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注册或登记</w:t>
      </w:r>
      <w:r>
        <w:rPr>
          <w:rFonts w:hint="eastAsia" w:ascii="宋体" w:hAnsi="宋体" w:cs="宋体"/>
          <w:sz w:val="28"/>
          <w:szCs w:val="28"/>
        </w:rPr>
        <w:t>的造价人员签字并盖执业印章；</w:t>
      </w:r>
    </w:p>
    <w:p w14:paraId="555FA468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.已标价工程量清单原件扫描成PDF格式，以附件形式上传，作为响应文件的组成部分。</w:t>
      </w:r>
      <w:bookmarkStart w:id="0" w:name="_GoBack"/>
    </w:p>
    <w:bookmarkEnd w:id="0"/>
    <w:p w14:paraId="3B4CF3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E6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2026-05-13T09:06:40Z</dcterms:created>
  <dc:creator>Administrator</dc:creator>
  <cp:lastModifiedBy>Administrator</cp:lastModifiedBy>
  <dcterms:modified xsi:type="dcterms:W3CDTF">2026-05-13T09:07:19Z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eyJoZGlkIjoiNjU1YWYzNjMxY2UwMWY3MDg0MDIxNjMwZDg3MGVjYzkiLCJ1c2VySWQiOiIzNjk1MTUwMDYifQ==</vt:lpwstr>
  </property>
  <property fmtid="{D5CDD505-2E9C-101B-9397-08002B2CF9AE}" pid="4" name="ICV">
    <vt:lpwstr>FC080AC1467B422F8DC6F8415FA3CE6C_12</vt:lpwstr>
  </property>
</Properties>
</file>