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45004">
      <w:pPr>
        <w:pStyle w:val="4"/>
        <w:jc w:val="center"/>
        <w:outlineLvl w:val="1"/>
        <w:rPr>
          <w:rFonts w:hint="default"/>
        </w:rPr>
      </w:pPr>
      <w:r>
        <w:rPr>
          <w:rFonts w:ascii="仿宋_GB2312" w:hAnsi="仿宋_GB2312" w:eastAsia="仿宋_GB2312" w:cs="仿宋_GB2312"/>
          <w:b/>
          <w:sz w:val="36"/>
        </w:rPr>
        <w:t>第三章</w:t>
      </w:r>
      <w:r>
        <w:rPr>
          <w:rFonts w:ascii="仿宋_GB2312" w:hAnsi="仿宋_GB2312" w:eastAsia="仿宋_GB2312" w:cs="仿宋_GB2312"/>
          <w:b/>
          <w:sz w:val="36"/>
          <w:lang w:eastAsia="zh-CN"/>
        </w:rPr>
        <w:t xml:space="preserve"> </w:t>
      </w:r>
      <w:r>
        <w:rPr>
          <w:rFonts w:hint="default" w:ascii="仿宋_GB2312" w:hAnsi="仿宋_GB2312" w:eastAsia="仿宋_GB2312" w:cs="仿宋_GB2312"/>
          <w:b/>
          <w:sz w:val="36"/>
          <w:lang w:eastAsia="zh-CN"/>
        </w:rPr>
        <w:t xml:space="preserve"> </w:t>
      </w:r>
      <w:r>
        <w:rPr>
          <w:rFonts w:ascii="仿宋_GB2312" w:hAnsi="仿宋_GB2312" w:eastAsia="仿宋_GB2312" w:cs="仿宋_GB2312"/>
          <w:b/>
          <w:sz w:val="36"/>
        </w:rPr>
        <w:t>磋商项目技术、服务、商务及其他要求</w:t>
      </w:r>
    </w:p>
    <w:p w14:paraId="53EC2281">
      <w:pPr>
        <w:pStyle w:val="4"/>
        <w:ind w:firstLine="480"/>
        <w:rPr>
          <w:rFonts w:hint="default"/>
        </w:rPr>
      </w:pPr>
      <w:r>
        <w:rPr>
          <w:rFonts w:ascii="仿宋_GB2312" w:hAnsi="仿宋_GB2312" w:eastAsia="仿宋_GB2312" w:cs="仿宋_GB2312"/>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2060B9F">
      <w:pPr>
        <w:pStyle w:val="4"/>
        <w:outlineLvl w:val="2"/>
        <w:rPr>
          <w:rFonts w:hint="default" w:ascii="仿宋_GB2312" w:hAnsi="仿宋_GB2312" w:eastAsia="仿宋_GB2312" w:cs="仿宋_GB2312"/>
          <w:b/>
          <w:sz w:val="28"/>
        </w:rPr>
      </w:pPr>
      <w:r>
        <w:rPr>
          <w:rFonts w:ascii="仿宋_GB2312" w:hAnsi="仿宋_GB2312" w:eastAsia="仿宋_GB2312" w:cs="仿宋_GB2312"/>
          <w:b/>
          <w:sz w:val="28"/>
        </w:rPr>
        <w:t>3.1采购项目概况</w:t>
      </w:r>
    </w:p>
    <w:p w14:paraId="1F0A95E0">
      <w:pPr>
        <w:pStyle w:val="4"/>
        <w:ind w:firstLine="480"/>
        <w:rPr>
          <w:rFonts w:hint="default" w:ascii="仿宋_GB2312" w:hAnsi="仿宋_GB2312" w:eastAsia="仿宋_GB2312" w:cs="仿宋_GB2312"/>
        </w:rPr>
      </w:pPr>
      <w:r>
        <w:rPr>
          <w:rFonts w:ascii="仿宋_GB2312" w:hAnsi="仿宋_GB2312" w:eastAsia="仿宋_GB2312" w:cs="仿宋_GB2312"/>
          <w:lang w:eastAsia="zh-CN"/>
        </w:rPr>
        <w:t>负责</w:t>
      </w:r>
      <w:r>
        <w:rPr>
          <w:rFonts w:hint="default" w:ascii="仿宋_GB2312" w:hAnsi="仿宋_GB2312" w:eastAsia="仿宋_GB2312" w:cs="仿宋_GB2312"/>
        </w:rPr>
        <w:t>国外专业演出院团来陕进行交流演出；出席活动嘉宾的的后勤保障；活动的安保工作。</w:t>
      </w:r>
    </w:p>
    <w:p w14:paraId="754896BC">
      <w:pPr>
        <w:pStyle w:val="4"/>
        <w:outlineLvl w:val="2"/>
        <w:rPr>
          <w:rFonts w:hint="default"/>
        </w:rPr>
      </w:pPr>
      <w:r>
        <w:rPr>
          <w:rFonts w:ascii="仿宋_GB2312" w:hAnsi="仿宋_GB2312" w:eastAsia="仿宋_GB2312" w:cs="仿宋_GB2312"/>
          <w:b/>
          <w:sz w:val="28"/>
        </w:rPr>
        <w:t>3.2服务内容及服务要求</w:t>
      </w:r>
    </w:p>
    <w:p w14:paraId="38C4DC4A">
      <w:pPr>
        <w:pStyle w:val="4"/>
        <w:outlineLvl w:val="3"/>
        <w:rPr>
          <w:rFonts w:hint="default"/>
        </w:rPr>
      </w:pPr>
      <w:r>
        <w:rPr>
          <w:rFonts w:ascii="仿宋_GB2312" w:hAnsi="仿宋_GB2312" w:eastAsia="仿宋_GB2312" w:cs="仿宋_GB2312"/>
          <w:b/>
          <w:sz w:val="24"/>
        </w:rPr>
        <w:t>3.2.1服务内容</w:t>
      </w:r>
    </w:p>
    <w:p w14:paraId="567FA3B2">
      <w:pPr>
        <w:pStyle w:val="4"/>
        <w:ind w:firstLine="400" w:firstLineChars="200"/>
        <w:rPr>
          <w:rFonts w:hint="default"/>
        </w:rPr>
      </w:pPr>
      <w:r>
        <w:rPr>
          <w:rFonts w:ascii="仿宋_GB2312" w:hAnsi="仿宋_GB2312" w:eastAsia="仿宋_GB2312" w:cs="仿宋_GB2312"/>
        </w:rPr>
        <w:t>采购包1：</w:t>
      </w:r>
    </w:p>
    <w:p w14:paraId="799C328A">
      <w:pPr>
        <w:pStyle w:val="4"/>
        <w:ind w:firstLine="400" w:firstLineChars="200"/>
        <w:rPr>
          <w:rFonts w:hint="default" w:eastAsia="仿宋_GB2312"/>
          <w:lang w:eastAsia="zh-CN"/>
        </w:rPr>
      </w:pPr>
      <w:r>
        <w:rPr>
          <w:rFonts w:ascii="仿宋_GB2312" w:hAnsi="仿宋_GB2312" w:eastAsia="仿宋_GB2312" w:cs="仿宋_GB2312"/>
        </w:rPr>
        <w:t>采购包预算金额（元）:</w:t>
      </w:r>
      <w:r>
        <w:rPr>
          <w:rFonts w:ascii="仿宋_GB2312" w:hAnsi="仿宋_GB2312" w:eastAsia="仿宋_GB2312" w:cs="仿宋_GB2312"/>
          <w:lang w:eastAsia="zh-CN"/>
        </w:rPr>
        <w:t>2,260,000.00</w:t>
      </w:r>
    </w:p>
    <w:p w14:paraId="4EDCC8C9">
      <w:pPr>
        <w:pStyle w:val="4"/>
        <w:ind w:firstLine="400" w:firstLineChars="200"/>
        <w:rPr>
          <w:rFonts w:hint="default"/>
        </w:rPr>
      </w:pPr>
      <w:r>
        <w:rPr>
          <w:rFonts w:ascii="仿宋_GB2312" w:hAnsi="仿宋_GB2312" w:eastAsia="仿宋_GB2312" w:cs="仿宋_GB2312"/>
        </w:rPr>
        <w:t>采购包最高限价（元）:</w:t>
      </w:r>
      <w:r>
        <w:rPr>
          <w:rFonts w:ascii="仿宋_GB2312" w:hAnsi="仿宋_GB2312" w:eastAsia="仿宋_GB2312" w:cs="仿宋_GB2312"/>
          <w:lang w:eastAsia="zh-CN"/>
        </w:rPr>
        <w:t>2,260,000.00</w:t>
      </w:r>
    </w:p>
    <w:p w14:paraId="4761663B">
      <w:pPr>
        <w:pStyle w:val="4"/>
        <w:ind w:firstLine="400" w:firstLineChars="200"/>
        <w:rPr>
          <w:rFonts w:hint="default"/>
        </w:rPr>
      </w:pPr>
      <w:r>
        <w:rPr>
          <w:rFonts w:ascii="仿宋_GB2312" w:hAnsi="仿宋_GB2312" w:eastAsia="仿宋_GB2312" w:cs="仿宋_GB2312"/>
        </w:rPr>
        <w:t>供应商报价不允许超过标的金额</w:t>
      </w:r>
    </w:p>
    <w:p w14:paraId="64C04771">
      <w:pPr>
        <w:pStyle w:val="4"/>
        <w:ind w:firstLine="400" w:firstLineChars="200"/>
        <w:rPr>
          <w:rFonts w:hint="default"/>
        </w:rPr>
      </w:pPr>
      <w:r>
        <w:rPr>
          <w:rFonts w:ascii="仿宋_GB2312" w:hAnsi="仿宋_GB2312" w:eastAsia="仿宋_GB2312" w:cs="仿宋_GB2312"/>
        </w:rPr>
        <w:t>（招单价的）供应商报价不允许超过标的单价</w:t>
      </w:r>
    </w:p>
    <w:tbl>
      <w:tblPr>
        <w:tblStyle w:val="2"/>
        <w:tblW w:w="934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49"/>
        <w:gridCol w:w="1544"/>
        <w:gridCol w:w="806"/>
        <w:gridCol w:w="1416"/>
        <w:gridCol w:w="785"/>
        <w:gridCol w:w="1104"/>
        <w:gridCol w:w="785"/>
        <w:gridCol w:w="785"/>
        <w:gridCol w:w="785"/>
        <w:gridCol w:w="785"/>
      </w:tblGrid>
      <w:tr w14:paraId="3E12F9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49" w:type="dxa"/>
          </w:tcPr>
          <w:p w14:paraId="2D2451AF">
            <w:pPr>
              <w:pStyle w:val="4"/>
              <w:rPr>
                <w:rFonts w:hint="default"/>
              </w:rPr>
            </w:pPr>
            <w:r>
              <w:rPr>
                <w:rFonts w:ascii="仿宋_GB2312" w:hAnsi="仿宋_GB2312" w:eastAsia="仿宋_GB2312" w:cs="仿宋_GB2312"/>
              </w:rPr>
              <w:t>序号</w:t>
            </w:r>
          </w:p>
        </w:tc>
        <w:tc>
          <w:tcPr>
            <w:tcW w:w="1544" w:type="dxa"/>
          </w:tcPr>
          <w:p w14:paraId="79CC4034">
            <w:pPr>
              <w:pStyle w:val="4"/>
              <w:rPr>
                <w:rFonts w:hint="default"/>
              </w:rPr>
            </w:pPr>
            <w:r>
              <w:rPr>
                <w:rFonts w:ascii="仿宋_GB2312" w:hAnsi="仿宋_GB2312" w:eastAsia="仿宋_GB2312" w:cs="仿宋_GB2312"/>
              </w:rPr>
              <w:t>标的名称</w:t>
            </w:r>
          </w:p>
        </w:tc>
        <w:tc>
          <w:tcPr>
            <w:tcW w:w="806" w:type="dxa"/>
          </w:tcPr>
          <w:p w14:paraId="1F7329A8">
            <w:pPr>
              <w:pStyle w:val="4"/>
              <w:rPr>
                <w:rFonts w:hint="default"/>
              </w:rPr>
            </w:pPr>
            <w:r>
              <w:rPr>
                <w:rFonts w:ascii="仿宋_GB2312" w:hAnsi="仿宋_GB2312" w:eastAsia="仿宋_GB2312" w:cs="仿宋_GB2312"/>
              </w:rPr>
              <w:t>数量</w:t>
            </w:r>
          </w:p>
        </w:tc>
        <w:tc>
          <w:tcPr>
            <w:tcW w:w="1416" w:type="dxa"/>
          </w:tcPr>
          <w:p w14:paraId="298BAB4E">
            <w:pPr>
              <w:pStyle w:val="4"/>
              <w:rPr>
                <w:rFonts w:hint="default"/>
              </w:rPr>
            </w:pPr>
            <w:r>
              <w:rPr>
                <w:rFonts w:ascii="仿宋_GB2312" w:hAnsi="仿宋_GB2312" w:eastAsia="仿宋_GB2312" w:cs="仿宋_GB2312"/>
              </w:rPr>
              <w:t>标的金额（元）</w:t>
            </w:r>
          </w:p>
        </w:tc>
        <w:tc>
          <w:tcPr>
            <w:tcW w:w="785" w:type="dxa"/>
          </w:tcPr>
          <w:p w14:paraId="3D1287E6">
            <w:pPr>
              <w:pStyle w:val="4"/>
              <w:rPr>
                <w:rFonts w:hint="default"/>
              </w:rPr>
            </w:pPr>
            <w:r>
              <w:rPr>
                <w:rFonts w:ascii="仿宋_GB2312" w:hAnsi="仿宋_GB2312" w:eastAsia="仿宋_GB2312" w:cs="仿宋_GB2312"/>
              </w:rPr>
              <w:t>计量单位</w:t>
            </w:r>
          </w:p>
        </w:tc>
        <w:tc>
          <w:tcPr>
            <w:tcW w:w="1104" w:type="dxa"/>
          </w:tcPr>
          <w:p w14:paraId="4614EF38">
            <w:pPr>
              <w:pStyle w:val="4"/>
              <w:rPr>
                <w:rFonts w:hint="default"/>
              </w:rPr>
            </w:pPr>
            <w:r>
              <w:rPr>
                <w:rFonts w:ascii="仿宋_GB2312" w:hAnsi="仿宋_GB2312" w:eastAsia="仿宋_GB2312" w:cs="仿宋_GB2312"/>
              </w:rPr>
              <w:t>所属行业</w:t>
            </w:r>
          </w:p>
        </w:tc>
        <w:tc>
          <w:tcPr>
            <w:tcW w:w="785" w:type="dxa"/>
          </w:tcPr>
          <w:p w14:paraId="6A5D766B">
            <w:pPr>
              <w:pStyle w:val="4"/>
              <w:rPr>
                <w:rFonts w:hint="default"/>
              </w:rPr>
            </w:pPr>
            <w:r>
              <w:rPr>
                <w:rFonts w:ascii="仿宋_GB2312" w:hAnsi="仿宋_GB2312" w:eastAsia="仿宋_GB2312" w:cs="仿宋_GB2312"/>
              </w:rPr>
              <w:t>是否核心产品</w:t>
            </w:r>
          </w:p>
        </w:tc>
        <w:tc>
          <w:tcPr>
            <w:tcW w:w="785" w:type="dxa"/>
          </w:tcPr>
          <w:p w14:paraId="214F9186">
            <w:pPr>
              <w:pStyle w:val="4"/>
              <w:rPr>
                <w:rFonts w:hint="default"/>
              </w:rPr>
            </w:pPr>
            <w:r>
              <w:rPr>
                <w:rFonts w:ascii="仿宋_GB2312" w:hAnsi="仿宋_GB2312" w:eastAsia="仿宋_GB2312" w:cs="仿宋_GB2312"/>
              </w:rPr>
              <w:t>是否允许进口产品</w:t>
            </w:r>
          </w:p>
        </w:tc>
        <w:tc>
          <w:tcPr>
            <w:tcW w:w="785" w:type="dxa"/>
          </w:tcPr>
          <w:p w14:paraId="73A12AED">
            <w:pPr>
              <w:pStyle w:val="4"/>
              <w:rPr>
                <w:rFonts w:hint="default"/>
              </w:rPr>
            </w:pPr>
            <w:r>
              <w:rPr>
                <w:rFonts w:ascii="仿宋_GB2312" w:hAnsi="仿宋_GB2312" w:eastAsia="仿宋_GB2312" w:cs="仿宋_GB2312"/>
              </w:rPr>
              <w:t>是否属于节能产品</w:t>
            </w:r>
          </w:p>
        </w:tc>
        <w:tc>
          <w:tcPr>
            <w:tcW w:w="785" w:type="dxa"/>
          </w:tcPr>
          <w:p w14:paraId="39EBB4C0">
            <w:pPr>
              <w:pStyle w:val="4"/>
              <w:rPr>
                <w:rFonts w:hint="default"/>
              </w:rPr>
            </w:pPr>
            <w:r>
              <w:rPr>
                <w:rFonts w:ascii="仿宋_GB2312" w:hAnsi="仿宋_GB2312" w:eastAsia="仿宋_GB2312" w:cs="仿宋_GB2312"/>
              </w:rPr>
              <w:t>是否属于环境标志产品</w:t>
            </w:r>
          </w:p>
        </w:tc>
      </w:tr>
      <w:tr w14:paraId="4C11BD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49" w:type="dxa"/>
          </w:tcPr>
          <w:p w14:paraId="51CEC51C">
            <w:pPr>
              <w:pStyle w:val="4"/>
              <w:rPr>
                <w:rFonts w:hint="default"/>
              </w:rPr>
            </w:pPr>
            <w:r>
              <w:rPr>
                <w:rFonts w:ascii="仿宋_GB2312" w:hAnsi="仿宋_GB2312" w:eastAsia="仿宋_GB2312" w:cs="仿宋_GB2312"/>
              </w:rPr>
              <w:t>1</w:t>
            </w:r>
          </w:p>
        </w:tc>
        <w:tc>
          <w:tcPr>
            <w:tcW w:w="1544" w:type="dxa"/>
          </w:tcPr>
          <w:p w14:paraId="60F776F6">
            <w:pPr>
              <w:pStyle w:val="4"/>
              <w:rPr>
                <w:rFonts w:hint="default"/>
                <w:lang w:eastAsia="zh-CN"/>
              </w:rPr>
            </w:pPr>
            <w:r>
              <w:rPr>
                <w:rFonts w:ascii="仿宋" w:hAnsi="仿宋" w:eastAsia="仿宋" w:cs="仿宋"/>
                <w:lang w:eastAsia="zh-CN"/>
              </w:rPr>
              <w:t>2026年国际文化交流项目</w:t>
            </w:r>
          </w:p>
        </w:tc>
        <w:tc>
          <w:tcPr>
            <w:tcW w:w="806" w:type="dxa"/>
          </w:tcPr>
          <w:p w14:paraId="4C43F5D3">
            <w:pPr>
              <w:pStyle w:val="4"/>
              <w:jc w:val="right"/>
              <w:rPr>
                <w:rFonts w:hint="default"/>
              </w:rPr>
            </w:pPr>
            <w:r>
              <w:rPr>
                <w:rFonts w:ascii="仿宋_GB2312" w:hAnsi="仿宋_GB2312" w:eastAsia="仿宋_GB2312" w:cs="仿宋_GB2312"/>
              </w:rPr>
              <w:t>1.00</w:t>
            </w:r>
          </w:p>
        </w:tc>
        <w:tc>
          <w:tcPr>
            <w:tcW w:w="1416" w:type="dxa"/>
          </w:tcPr>
          <w:p w14:paraId="4E4B16B1">
            <w:pPr>
              <w:pStyle w:val="4"/>
              <w:jc w:val="right"/>
              <w:rPr>
                <w:rFonts w:hint="default"/>
              </w:rPr>
            </w:pPr>
            <w:r>
              <w:rPr>
                <w:rFonts w:ascii="仿宋_GB2312" w:hAnsi="仿宋_GB2312" w:eastAsia="仿宋_GB2312" w:cs="仿宋_GB2312"/>
                <w:lang w:eastAsia="zh-CN"/>
              </w:rPr>
              <w:t>2,260,000.00</w:t>
            </w:r>
          </w:p>
        </w:tc>
        <w:tc>
          <w:tcPr>
            <w:tcW w:w="785" w:type="dxa"/>
          </w:tcPr>
          <w:p w14:paraId="487A654A">
            <w:pPr>
              <w:pStyle w:val="4"/>
              <w:rPr>
                <w:rFonts w:hint="default"/>
              </w:rPr>
            </w:pPr>
            <w:r>
              <w:rPr>
                <w:rFonts w:ascii="仿宋_GB2312" w:hAnsi="仿宋_GB2312" w:eastAsia="仿宋_GB2312" w:cs="仿宋_GB2312"/>
              </w:rPr>
              <w:t>项</w:t>
            </w:r>
          </w:p>
        </w:tc>
        <w:tc>
          <w:tcPr>
            <w:tcW w:w="1104" w:type="dxa"/>
          </w:tcPr>
          <w:p w14:paraId="43393090">
            <w:pPr>
              <w:pStyle w:val="4"/>
              <w:rPr>
                <w:rFonts w:hint="default"/>
              </w:rPr>
            </w:pPr>
            <w:r>
              <w:rPr>
                <w:rFonts w:ascii="仿宋_GB2312" w:hAnsi="仿宋_GB2312" w:eastAsia="仿宋_GB2312" w:cs="仿宋_GB2312"/>
              </w:rPr>
              <w:t>其他未列明行业</w:t>
            </w:r>
          </w:p>
        </w:tc>
        <w:tc>
          <w:tcPr>
            <w:tcW w:w="785" w:type="dxa"/>
          </w:tcPr>
          <w:p w14:paraId="02E4D6E0">
            <w:pPr>
              <w:pStyle w:val="4"/>
              <w:rPr>
                <w:rFonts w:hint="default"/>
              </w:rPr>
            </w:pPr>
            <w:r>
              <w:rPr>
                <w:rFonts w:ascii="仿宋_GB2312" w:hAnsi="仿宋_GB2312" w:eastAsia="仿宋_GB2312" w:cs="仿宋_GB2312"/>
              </w:rPr>
              <w:t>否</w:t>
            </w:r>
          </w:p>
        </w:tc>
        <w:tc>
          <w:tcPr>
            <w:tcW w:w="785" w:type="dxa"/>
          </w:tcPr>
          <w:p w14:paraId="1507901C">
            <w:pPr>
              <w:pStyle w:val="4"/>
              <w:rPr>
                <w:rFonts w:hint="default"/>
              </w:rPr>
            </w:pPr>
            <w:r>
              <w:rPr>
                <w:rFonts w:ascii="仿宋_GB2312" w:hAnsi="仿宋_GB2312" w:eastAsia="仿宋_GB2312" w:cs="仿宋_GB2312"/>
              </w:rPr>
              <w:t>否</w:t>
            </w:r>
          </w:p>
        </w:tc>
        <w:tc>
          <w:tcPr>
            <w:tcW w:w="785" w:type="dxa"/>
          </w:tcPr>
          <w:p w14:paraId="5C7B3A68">
            <w:pPr>
              <w:pStyle w:val="4"/>
              <w:rPr>
                <w:rFonts w:hint="default"/>
              </w:rPr>
            </w:pPr>
            <w:r>
              <w:rPr>
                <w:rFonts w:ascii="仿宋_GB2312" w:hAnsi="仿宋_GB2312" w:eastAsia="仿宋_GB2312" w:cs="仿宋_GB2312"/>
              </w:rPr>
              <w:t>否</w:t>
            </w:r>
          </w:p>
        </w:tc>
        <w:tc>
          <w:tcPr>
            <w:tcW w:w="785" w:type="dxa"/>
          </w:tcPr>
          <w:p w14:paraId="074A58F2">
            <w:pPr>
              <w:pStyle w:val="4"/>
              <w:rPr>
                <w:rFonts w:hint="default"/>
              </w:rPr>
            </w:pPr>
            <w:r>
              <w:rPr>
                <w:rFonts w:ascii="仿宋_GB2312" w:hAnsi="仿宋_GB2312" w:eastAsia="仿宋_GB2312" w:cs="仿宋_GB2312"/>
              </w:rPr>
              <w:t>否</w:t>
            </w:r>
          </w:p>
        </w:tc>
      </w:tr>
    </w:tbl>
    <w:p w14:paraId="7D829D5D">
      <w:pPr>
        <w:pStyle w:val="4"/>
        <w:outlineLvl w:val="2"/>
        <w:rPr>
          <w:rFonts w:hint="default"/>
        </w:rPr>
      </w:pPr>
      <w:r>
        <w:rPr>
          <w:rFonts w:ascii="仿宋_GB2312" w:hAnsi="仿宋_GB2312" w:eastAsia="仿宋_GB2312" w:cs="仿宋_GB2312"/>
          <w:b/>
          <w:sz w:val="28"/>
        </w:rPr>
        <w:t>3.2.2服务要求</w:t>
      </w:r>
    </w:p>
    <w:p w14:paraId="384F60FC">
      <w:pPr>
        <w:pStyle w:val="4"/>
        <w:rPr>
          <w:rFonts w:hint="default"/>
        </w:rPr>
      </w:pPr>
      <w:r>
        <w:rPr>
          <w:rFonts w:ascii="仿宋_GB2312" w:hAnsi="仿宋_GB2312" w:eastAsia="仿宋_GB2312" w:cs="仿宋_GB2312"/>
        </w:rPr>
        <w:t>采购包1：</w:t>
      </w:r>
    </w:p>
    <w:p w14:paraId="5B8AB1A2">
      <w:pPr>
        <w:pStyle w:val="4"/>
        <w:rPr>
          <w:rFonts w:hint="default" w:eastAsia="仿宋_GB2312"/>
          <w:lang w:eastAsia="zh-CN"/>
        </w:rPr>
      </w:pPr>
      <w:r>
        <w:rPr>
          <w:rFonts w:ascii="仿宋_GB2312" w:hAnsi="仿宋_GB2312" w:eastAsia="仿宋_GB2312" w:cs="仿宋_GB2312"/>
        </w:rPr>
        <w:t>标的名称：</w:t>
      </w:r>
      <w:r>
        <w:rPr>
          <w:rFonts w:ascii="仿宋" w:hAnsi="仿宋" w:eastAsia="仿宋" w:cs="仿宋"/>
          <w:lang w:eastAsia="zh-CN"/>
        </w:rPr>
        <w:t>2026年国际文化交流项目</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31"/>
        <w:gridCol w:w="864"/>
        <w:gridCol w:w="6926"/>
      </w:tblGrid>
      <w:tr w14:paraId="716CDE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9" w:type="pct"/>
          </w:tcPr>
          <w:p w14:paraId="4A34D81A">
            <w:pPr>
              <w:pStyle w:val="4"/>
              <w:rPr>
                <w:rFonts w:hint="default"/>
              </w:rPr>
            </w:pPr>
            <w:r>
              <w:rPr>
                <w:rFonts w:ascii="仿宋_GB2312" w:hAnsi="仿宋_GB2312" w:eastAsia="仿宋_GB2312" w:cs="仿宋_GB2312"/>
              </w:rPr>
              <w:t>序号</w:t>
            </w:r>
          </w:p>
        </w:tc>
        <w:tc>
          <w:tcPr>
            <w:tcW w:w="507" w:type="pct"/>
          </w:tcPr>
          <w:p w14:paraId="1D4AC6CA">
            <w:pPr>
              <w:pStyle w:val="4"/>
              <w:rPr>
                <w:rFonts w:hint="default"/>
              </w:rPr>
            </w:pPr>
            <w:r>
              <w:rPr>
                <w:rFonts w:ascii="仿宋_GB2312" w:hAnsi="仿宋_GB2312" w:eastAsia="仿宋_GB2312" w:cs="仿宋_GB2312"/>
              </w:rPr>
              <w:t>参数性质</w:t>
            </w:r>
          </w:p>
        </w:tc>
        <w:tc>
          <w:tcPr>
            <w:tcW w:w="4063" w:type="pct"/>
          </w:tcPr>
          <w:p w14:paraId="7A3D1F52">
            <w:pPr>
              <w:pStyle w:val="4"/>
              <w:rPr>
                <w:rFonts w:hint="default"/>
              </w:rPr>
            </w:pPr>
            <w:r>
              <w:rPr>
                <w:rFonts w:ascii="仿宋_GB2312" w:hAnsi="仿宋_GB2312" w:eastAsia="仿宋_GB2312" w:cs="仿宋_GB2312"/>
              </w:rPr>
              <w:t>技术参数与性能指标</w:t>
            </w:r>
          </w:p>
        </w:tc>
      </w:tr>
      <w:tr w14:paraId="4DCE2A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9" w:type="pct"/>
          </w:tcPr>
          <w:p w14:paraId="1B5C0678">
            <w:pPr>
              <w:pStyle w:val="4"/>
              <w:rPr>
                <w:rFonts w:hint="default"/>
              </w:rPr>
            </w:pPr>
            <w:r>
              <w:rPr>
                <w:rFonts w:ascii="仿宋_GB2312" w:hAnsi="仿宋_GB2312" w:eastAsia="仿宋_GB2312" w:cs="仿宋_GB2312"/>
              </w:rPr>
              <w:t>1</w:t>
            </w:r>
          </w:p>
        </w:tc>
        <w:tc>
          <w:tcPr>
            <w:tcW w:w="507" w:type="pct"/>
          </w:tcPr>
          <w:p w14:paraId="20F4723F"/>
        </w:tc>
        <w:tc>
          <w:tcPr>
            <w:tcW w:w="4063" w:type="pct"/>
          </w:tcPr>
          <w:p w14:paraId="7F9BE916">
            <w:pPr>
              <w:pStyle w:val="4"/>
              <w:rPr>
                <w:rFonts w:hint="default"/>
                <w:b/>
                <w:bCs/>
              </w:rPr>
            </w:pPr>
            <w:r>
              <w:rPr>
                <w:rFonts w:ascii="仿宋_GB2312" w:hAnsi="仿宋_GB2312" w:eastAsia="仿宋_GB2312" w:cs="仿宋_GB2312"/>
                <w:b/>
                <w:bCs/>
              </w:rPr>
              <w:t>一、项目概况</w:t>
            </w:r>
          </w:p>
          <w:p w14:paraId="38194AFA">
            <w:pPr>
              <w:pStyle w:val="4"/>
              <w:ind w:firstLine="400" w:firstLineChars="200"/>
              <w:rPr>
                <w:rFonts w:hint="default"/>
              </w:rPr>
            </w:pPr>
            <w:r>
              <w:rPr>
                <w:rFonts w:ascii="仿宋_GB2312" w:hAnsi="仿宋_GB2312" w:eastAsia="仿宋_GB2312" w:cs="仿宋_GB2312"/>
                <w:lang w:eastAsia="zh-CN"/>
              </w:rPr>
              <w:t>提供</w:t>
            </w:r>
            <w:r>
              <w:rPr>
                <w:rFonts w:hint="default" w:ascii="仿宋_GB2312" w:hAnsi="仿宋_GB2312" w:eastAsia="仿宋_GB2312" w:cs="仿宋_GB2312"/>
              </w:rPr>
              <w:t>国外专业演出院团来陕进行交流演出；出席活动嘉宾的的后勤保障；活动的安保工作。</w:t>
            </w:r>
          </w:p>
        </w:tc>
      </w:tr>
      <w:tr w14:paraId="5FF3D2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9" w:type="pct"/>
          </w:tcPr>
          <w:p w14:paraId="2EF9B0F9">
            <w:pPr>
              <w:pStyle w:val="4"/>
              <w:rPr>
                <w:rFonts w:hint="default"/>
              </w:rPr>
            </w:pPr>
            <w:r>
              <w:rPr>
                <w:rFonts w:ascii="仿宋_GB2312" w:hAnsi="仿宋_GB2312" w:eastAsia="仿宋_GB2312" w:cs="仿宋_GB2312"/>
              </w:rPr>
              <w:t>2</w:t>
            </w:r>
          </w:p>
        </w:tc>
        <w:tc>
          <w:tcPr>
            <w:tcW w:w="507" w:type="pct"/>
          </w:tcPr>
          <w:p w14:paraId="3BB6288C"/>
        </w:tc>
        <w:tc>
          <w:tcPr>
            <w:tcW w:w="4063" w:type="pct"/>
          </w:tcPr>
          <w:p w14:paraId="5CE61DEC">
            <w:pPr>
              <w:pStyle w:val="4"/>
              <w:rPr>
                <w:rFonts w:hint="default"/>
                <w:b/>
                <w:bCs/>
              </w:rPr>
            </w:pPr>
            <w:r>
              <w:rPr>
                <w:rFonts w:ascii="仿宋_GB2312" w:hAnsi="仿宋_GB2312" w:eastAsia="仿宋_GB2312" w:cs="仿宋_GB2312"/>
                <w:b/>
                <w:bCs/>
              </w:rPr>
              <w:t>二、服务内容及要求</w:t>
            </w:r>
          </w:p>
          <w:p w14:paraId="6C4BF49B">
            <w:pPr>
              <w:pStyle w:val="4"/>
              <w:rPr>
                <w:rFonts w:hint="default" w:ascii="仿宋_GB2312" w:hAnsi="仿宋_GB2312" w:eastAsia="仿宋_GB2312" w:cs="仿宋_GB2312"/>
                <w:b/>
                <w:bCs/>
                <w:lang w:eastAsia="zh-CN"/>
              </w:rPr>
            </w:pPr>
            <w:r>
              <w:rPr>
                <w:rFonts w:ascii="仿宋_GB2312" w:hAnsi="仿宋_GB2312" w:eastAsia="仿宋_GB2312" w:cs="仿宋_GB2312"/>
                <w:b/>
                <w:bCs/>
                <w:lang w:eastAsia="zh-CN"/>
              </w:rPr>
              <w:t>（一）服务内容</w:t>
            </w:r>
          </w:p>
          <w:p w14:paraId="60E79DE4">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加强陕西与海外国家和地区文旅领域的交流与合作，推动艺术领域交流互动与文化成果共享，提升陕西文旅海外知名度和美誉度，将举办国际文化交流活动。项目包含来自4个国家的演出团组在指定时间内来陕进行交流演出，其中3个演出团组每团为30人，1个团组人数不超过20人，演出团日程安排附后；出席国际文化交流活动嘉宾的后勤保障；国际文化交流活动的安保工作。</w:t>
            </w:r>
          </w:p>
          <w:p w14:paraId="376FD853">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lang w:eastAsia="zh-CN"/>
              </w:rPr>
              <w:t>1.演出团（2个团组</w:t>
            </w:r>
            <w:r>
              <w:rPr>
                <w:rFonts w:ascii="仿宋_GB2312" w:hAnsi="仿宋_GB2312" w:eastAsia="仿宋_GB2312" w:cs="仿宋_GB2312"/>
                <w:highlight w:val="none"/>
                <w:lang w:eastAsia="zh-CN"/>
              </w:rPr>
              <w:t>，每团30人）安排：</w:t>
            </w:r>
          </w:p>
          <w:p w14:paraId="34BC2DF5">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第一天：抵达西安，装台、彩排</w:t>
            </w:r>
          </w:p>
          <w:p w14:paraId="031168A6">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第二天：彩排，演出</w:t>
            </w:r>
          </w:p>
          <w:p w14:paraId="61E5709A">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第三天：由西安前往延安，装台</w:t>
            </w:r>
          </w:p>
          <w:p w14:paraId="6695AF87">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第四天：彩排、演出</w:t>
            </w:r>
          </w:p>
          <w:p w14:paraId="1AE0D424">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第五天：离开陕西</w:t>
            </w:r>
          </w:p>
          <w:p w14:paraId="2A2EBA10">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2.演出团（30人）安排：</w:t>
            </w:r>
          </w:p>
          <w:p w14:paraId="44519460">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第一天：抵达西安，装台</w:t>
            </w:r>
          </w:p>
          <w:p w14:paraId="389CACB2">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第二天：彩排</w:t>
            </w:r>
          </w:p>
          <w:p w14:paraId="66FC9E87">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第三天：彩排、演出</w:t>
            </w:r>
          </w:p>
          <w:p w14:paraId="66D7E6CE">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第四天：离开陕西</w:t>
            </w:r>
          </w:p>
          <w:p w14:paraId="005EF871">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3.演出团（不超过20人）安排：</w:t>
            </w:r>
          </w:p>
          <w:p w14:paraId="03DC9DF8">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第一天：抵达西安，彩排</w:t>
            </w:r>
          </w:p>
          <w:p w14:paraId="26621501">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第二天：演出</w:t>
            </w:r>
          </w:p>
          <w:p w14:paraId="67263161">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第三天：离开陕西</w:t>
            </w:r>
          </w:p>
          <w:p w14:paraId="0A3ED07E">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现征集供应商负责国际文化交流活动的组织与实施，项目具体要求包括不限于如下事项：</w:t>
            </w:r>
          </w:p>
          <w:p w14:paraId="2D308DD2">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1.组织管理：负责演出活动舞台搭建、现场氛围布置、演职人员后勤保障、现场统筹管控及配套物料设计制作等相关工作。</w:t>
            </w:r>
          </w:p>
          <w:p w14:paraId="008FC8AB">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2.场地租赁服务：完成活动所需场地的租赁手续办理及沟通协调等工作。</w:t>
            </w:r>
          </w:p>
          <w:p w14:paraId="2979A09B">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3.活动现场执行：承担国际文化交流活动全流程现场组织与落地执行工作。</w:t>
            </w:r>
          </w:p>
          <w:p w14:paraId="5E9636F2">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4.后勤综合保障服务：开展演职人员前期对接沟通，落实嘉宾及演职人员会期接送、餐饮住宿、票务预订以及活动现场配套保障服务。</w:t>
            </w:r>
          </w:p>
          <w:p w14:paraId="19597AB9">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5.设计施工：包括演出现场氛围布置及相关物料制作等工作。</w:t>
            </w:r>
          </w:p>
          <w:p w14:paraId="785959EF">
            <w:pPr>
              <w:pStyle w:val="4"/>
              <w:rPr>
                <w:rFonts w:hint="default" w:ascii="仿宋_GB2312" w:hAnsi="仿宋_GB2312" w:eastAsia="仿宋_GB2312" w:cs="仿宋_GB2312"/>
                <w:b/>
                <w:bCs/>
                <w:lang w:eastAsia="zh-CN"/>
              </w:rPr>
            </w:pPr>
            <w:r>
              <w:rPr>
                <w:rFonts w:ascii="仿宋_GB2312" w:hAnsi="仿宋_GB2312" w:eastAsia="仿宋_GB2312" w:cs="仿宋_GB2312"/>
                <w:b/>
                <w:bCs/>
                <w:lang w:eastAsia="zh-CN"/>
              </w:rPr>
              <w:t>（二）服务要求</w:t>
            </w:r>
          </w:p>
          <w:p w14:paraId="145A9C95">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1.负责国外专业演出院团演出的组织，包含但不限于以下方面：</w:t>
            </w:r>
          </w:p>
          <w:p w14:paraId="419F23B4">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（1）制定演出活动的总体方案，并组织实施。</w:t>
            </w:r>
          </w:p>
          <w:p w14:paraId="353C1AE2">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（2）演出的组织实施包括但不限于演出技术要求的对接、彩排及正式演出的统筹与协调。</w:t>
            </w:r>
          </w:p>
          <w:p w14:paraId="02094B12">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（3）服装、灯光、音响、道具、舞台等演出设备和专业人员的协调与保障</w:t>
            </w:r>
            <w:r>
              <w:rPr>
                <w:rFonts w:ascii="仿宋_GB2312" w:hAnsi="仿宋_GB2312" w:eastAsia="仿宋_GB2312" w:cs="仿宋_GB2312"/>
              </w:rPr>
              <w:t>。</w:t>
            </w:r>
          </w:p>
          <w:p w14:paraId="1C5D73E7">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（4）</w:t>
            </w:r>
            <w:r>
              <w:rPr>
                <w:rFonts w:ascii="仿宋_GB2312" w:hAnsi="仿宋_GB2312" w:eastAsia="仿宋_GB2312" w:cs="仿宋_GB2312"/>
                <w:color w:val="000000" w:themeColor="text1"/>
                <w:highlight w:val="none"/>
                <w:lang w:eastAsia="zh-CN"/>
                <w14:textFill>
                  <w14:solidFill>
                    <w14:schemeClr w14:val="tx1"/>
                  </w14:solidFill>
                </w14:textFill>
              </w:rPr>
              <w:t>演出场地</w:t>
            </w:r>
            <w:r>
              <w:rPr>
                <w:rFonts w:ascii="仿宋_GB2312" w:hAnsi="仿宋_GB2312" w:eastAsia="仿宋_GB2312" w:cs="仿宋_GB2312"/>
                <w:highlight w:val="none"/>
                <w:lang w:eastAsia="zh-CN"/>
              </w:rPr>
              <w:t>的对</w:t>
            </w:r>
            <w:r>
              <w:rPr>
                <w:rFonts w:ascii="仿宋_GB2312" w:hAnsi="仿宋_GB2312" w:eastAsia="仿宋_GB2312" w:cs="仿宋_GB2312"/>
                <w:lang w:eastAsia="zh-CN"/>
              </w:rPr>
              <w:t>接、手续报批和氛围营造的策划与搭建。</w:t>
            </w:r>
          </w:p>
          <w:p w14:paraId="0688FB15">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（5）演出广宣物料如节目单、海报、视频等的设计、制作，设计需原创，体现国际性、艺术性。</w:t>
            </w:r>
          </w:p>
          <w:p w14:paraId="6DCDC0A8">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lang w:eastAsia="zh-CN"/>
              </w:rPr>
              <w:t>（6）国外演出团组在陕西期间住宿、餐饮</w:t>
            </w:r>
            <w:r>
              <w:rPr>
                <w:rFonts w:ascii="仿宋_GB2312" w:hAnsi="仿宋_GB2312" w:eastAsia="仿宋_GB2312" w:cs="仿宋_GB2312"/>
                <w:highlight w:val="none"/>
                <w:lang w:eastAsia="zh-CN"/>
              </w:rPr>
              <w:t>、翻译（</w:t>
            </w:r>
            <w:r>
              <w:rPr>
                <w:rFonts w:hint="eastAsia" w:ascii="仿宋_GB2312" w:hAnsi="仿宋_GB2312" w:eastAsia="仿宋_GB2312" w:cs="仿宋_GB2312"/>
                <w:highlight w:val="none"/>
                <w:lang w:val="en-US" w:eastAsia="zh-CN"/>
              </w:rPr>
              <w:t>至少3种外语翻译，每团不少于3人，根据活动期间每个环节需求酌情增加</w:t>
            </w:r>
            <w:r>
              <w:rPr>
                <w:rFonts w:ascii="仿宋_GB2312" w:hAnsi="仿宋_GB2312" w:eastAsia="仿宋_GB2312" w:cs="仿宋_GB2312"/>
                <w:highlight w:val="none"/>
                <w:lang w:eastAsia="zh-CN"/>
              </w:rPr>
              <w:t>）、交通等保障。</w:t>
            </w:r>
          </w:p>
          <w:p w14:paraId="300D2787">
            <w:pPr>
              <w:pStyle w:val="4"/>
              <w:ind w:firstLine="400" w:firstLineChars="200"/>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（7）对外信息安全保障、网络</w:t>
            </w:r>
            <w:r>
              <w:rPr>
                <w:rFonts w:hint="eastAsia" w:ascii="仿宋_GB2312" w:hAnsi="仿宋_GB2312" w:eastAsia="仿宋_GB2312" w:cs="仿宋_GB2312"/>
                <w:highlight w:val="none"/>
                <w:lang w:val="en-US" w:eastAsia="zh-CN"/>
              </w:rPr>
              <w:t>信息</w:t>
            </w:r>
            <w:bookmarkStart w:id="0" w:name="_GoBack"/>
            <w:bookmarkEnd w:id="0"/>
            <w:r>
              <w:rPr>
                <w:rFonts w:ascii="仿宋_GB2312" w:hAnsi="仿宋_GB2312" w:eastAsia="仿宋_GB2312" w:cs="仿宋_GB2312"/>
                <w:highlight w:val="none"/>
                <w:lang w:eastAsia="zh-CN"/>
              </w:rPr>
              <w:t>监管和应急。</w:t>
            </w:r>
          </w:p>
          <w:p w14:paraId="30D8445F">
            <w:pPr>
              <w:pStyle w:val="4"/>
              <w:ind w:firstLine="400" w:firstLineChars="200"/>
              <w:rPr>
                <w:rFonts w:hint="default" w:ascii="仿宋_GB2312" w:hAnsi="仿宋_GB2312" w:eastAsia="仿宋_GB2312" w:cs="仿宋_GB2312"/>
                <w:color w:val="000000" w:themeColor="text1"/>
                <w:lang w:eastAsia="zh-CN"/>
                <w14:textFill>
                  <w14:solidFill>
                    <w14:schemeClr w14:val="tx1"/>
                  </w14:solidFill>
                </w14:textFill>
              </w:rPr>
            </w:pPr>
            <w:r>
              <w:rPr>
                <w:rFonts w:ascii="仿宋_GB2312" w:hAnsi="仿宋_GB2312" w:eastAsia="仿宋_GB2312" w:cs="仿宋_GB2312"/>
                <w:highlight w:val="none"/>
                <w:lang w:eastAsia="zh-CN"/>
              </w:rPr>
              <w:t>（8）根据演出日程安排，</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提供</w:t>
            </w:r>
            <w:r>
              <w:rPr>
                <w:rFonts w:ascii="仿宋_GB2312" w:hAnsi="仿宋_GB2312" w:eastAsia="仿宋_GB2312" w:cs="仿宋_GB2312"/>
                <w:color w:val="000000" w:themeColor="text1"/>
                <w:highlight w:val="none"/>
                <w:lang w:eastAsia="zh-CN"/>
                <w14:textFill>
                  <w14:solidFill>
                    <w14:schemeClr w14:val="tx1"/>
                  </w14:solidFill>
                </w14:textFill>
              </w:rPr>
              <w:t>其中1个30人演出团入境机场（预估从上海或北京两地入境</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至西安机票费、</w:t>
            </w:r>
            <w:r>
              <w:rPr>
                <w:rFonts w:ascii="仿宋_GB2312" w:hAnsi="仿宋_GB2312" w:eastAsia="仿宋_GB2312" w:cs="仿宋_GB2312"/>
                <w:color w:val="000000" w:themeColor="text1"/>
                <w:highlight w:val="none"/>
                <w:lang w:eastAsia="zh-CN"/>
                <w14:textFill>
                  <w14:solidFill>
                    <w14:schemeClr w14:val="tx1"/>
                  </w14:solidFill>
                </w14:textFill>
              </w:rPr>
              <w:t>2个演出团体城际间交通费、4个演出团体在陕西期间食宿和市内交通费、</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西安</w:t>
            </w:r>
            <w:r>
              <w:rPr>
                <w:rFonts w:ascii="仿宋_GB2312" w:hAnsi="仿宋_GB2312" w:eastAsia="仿宋_GB2312" w:cs="仿宋_GB2312"/>
                <w:color w:val="000000" w:themeColor="text1"/>
                <w:highlight w:val="none"/>
                <w:lang w:eastAsia="zh-CN"/>
                <w14:textFill>
                  <w14:solidFill>
                    <w14:schemeClr w14:val="tx1"/>
                  </w14:solidFill>
                </w14:textFill>
              </w:rPr>
              <w:t>演出场地费、演出所需的设备租赁费及技术专业人员劳务费、翻译费等活动所需的全部费用均包含在采购金额范围内。</w:t>
            </w:r>
          </w:p>
          <w:p w14:paraId="5FE42768">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2.嘉宾的后勤保障，包含但不限于以下方面：</w:t>
            </w:r>
          </w:p>
          <w:p w14:paraId="3DEAA9A7">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（1）制定后勤保障工作方案</w:t>
            </w:r>
          </w:p>
          <w:p w14:paraId="300BB91D">
            <w:pPr>
              <w:pStyle w:val="4"/>
              <w:ind w:firstLine="400" w:firstLineChars="200"/>
              <w:rPr>
                <w:rFonts w:hint="default" w:ascii="仿宋_GB2312" w:hAnsi="仿宋_GB2312" w:eastAsia="仿宋_GB2312" w:cs="仿宋_GB2312"/>
                <w:color w:val="auto"/>
                <w:highlight w:val="none"/>
                <w:lang w:eastAsia="zh-CN"/>
              </w:rPr>
            </w:pPr>
            <w:r>
              <w:rPr>
                <w:rFonts w:ascii="仿宋_GB2312" w:hAnsi="仿宋_GB2312" w:eastAsia="仿宋_GB2312" w:cs="仿宋_GB2312"/>
                <w:color w:val="auto"/>
                <w:lang w:eastAsia="zh-CN"/>
              </w:rPr>
              <w:t>（</w:t>
            </w:r>
            <w:r>
              <w:rPr>
                <w:rFonts w:ascii="仿宋_GB2312" w:hAnsi="仿宋_GB2312" w:eastAsia="仿宋_GB2312" w:cs="仿宋_GB2312"/>
                <w:color w:val="auto"/>
                <w:highlight w:val="none"/>
                <w:lang w:eastAsia="zh-CN"/>
              </w:rPr>
              <w:t>2）参会嘉宾信息收集。</w:t>
            </w:r>
          </w:p>
          <w:p w14:paraId="237D247F">
            <w:pPr>
              <w:pStyle w:val="4"/>
              <w:ind w:firstLine="400" w:firstLineChars="200"/>
              <w:rPr>
                <w:rFonts w:hint="default"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lang w:eastAsia="zh-CN"/>
              </w:rPr>
              <w:t>（3）安排参会嘉宾落地接待：住宿、餐饮、交通、翻译等服务保障</w:t>
            </w: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lang w:val="en-US" w:eastAsia="zh-CN"/>
              </w:rPr>
              <w:t>每场活动嘉宾不超过10人</w:t>
            </w:r>
            <w:r>
              <w:rPr>
                <w:rFonts w:ascii="仿宋_GB2312" w:hAnsi="仿宋_GB2312" w:eastAsia="仿宋_GB2312" w:cs="仿宋_GB2312"/>
                <w:color w:val="auto"/>
                <w:highlight w:val="none"/>
                <w:lang w:eastAsia="zh-CN"/>
              </w:rPr>
              <w:t>。</w:t>
            </w:r>
          </w:p>
          <w:p w14:paraId="6A2B6B65">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（4）制作保障工作所需物料。</w:t>
            </w:r>
          </w:p>
          <w:p w14:paraId="6E91C47B">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（5）相关活动会场规划及布置。</w:t>
            </w:r>
          </w:p>
          <w:p w14:paraId="7642A510">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（6）现场工作人员管理工作，保证所有工作人员及</w:t>
            </w:r>
            <w:r>
              <w:rPr>
                <w:rFonts w:ascii="仿宋_GB2312" w:hAnsi="仿宋_GB2312" w:eastAsia="仿宋_GB2312" w:cs="仿宋_GB2312"/>
                <w:highlight w:val="none"/>
                <w:lang w:eastAsia="zh-CN"/>
              </w:rPr>
              <w:t>志愿者</w:t>
            </w:r>
            <w:r>
              <w:rPr>
                <w:rFonts w:ascii="仿宋_GB2312" w:hAnsi="仿宋_GB2312" w:eastAsia="仿宋_GB2312" w:cs="仿宋_GB2312"/>
                <w:lang w:eastAsia="zh-CN"/>
              </w:rPr>
              <w:t>按照工作流程及各项管理标准工作。</w:t>
            </w:r>
          </w:p>
          <w:p w14:paraId="7EA10A0E">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（7）做好车辆调度、路线规划、保障嘉宾往返机场、酒店、会场的交通接驳，配备专业驾驶员，车辆需干净整洁。</w:t>
            </w:r>
          </w:p>
          <w:p w14:paraId="5E5C3BA1">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（8）做好工作人员工作餐、工作用车等保障。</w:t>
            </w:r>
          </w:p>
          <w:p w14:paraId="7EB21706">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（9）做好活动结束后现场的整理工作。</w:t>
            </w:r>
          </w:p>
          <w:p w14:paraId="1E81590E">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（10）根据活动安排，出席嘉宾在陕西期间食宿和市内交通费、翻译费、物料费、宣传品等活动所需的全部费用均包含在采购金额范围内。</w:t>
            </w:r>
          </w:p>
          <w:p w14:paraId="387E1564">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3.安保工作、包含但不限于以下方面：</w:t>
            </w:r>
          </w:p>
          <w:p w14:paraId="0888DEB9">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（1）制定活动安保工作方案。</w:t>
            </w:r>
          </w:p>
          <w:p w14:paraId="36975E34">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（2）根据活动安排，配备持有保安员证的安保工作人员。</w:t>
            </w:r>
          </w:p>
          <w:p w14:paraId="01379F83">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（3）制作活动所需不同类型的证件。</w:t>
            </w:r>
          </w:p>
          <w:p w14:paraId="5F6CAE83">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（4）安保工作所需车辆保障。</w:t>
            </w:r>
          </w:p>
          <w:p w14:paraId="4B588B61">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（5）安保工作所需的全部费用均包含在采购金额范围内。</w:t>
            </w:r>
          </w:p>
          <w:p w14:paraId="075223AC">
            <w:pPr>
              <w:pStyle w:val="4"/>
              <w:rPr>
                <w:rFonts w:hint="default" w:ascii="仿宋_GB2312" w:hAnsi="仿宋_GB2312" w:eastAsia="仿宋_GB2312" w:cs="仿宋_GB2312"/>
                <w:b/>
                <w:bCs/>
                <w:lang w:eastAsia="zh-CN"/>
              </w:rPr>
            </w:pPr>
            <w:r>
              <w:rPr>
                <w:rFonts w:ascii="仿宋_GB2312" w:hAnsi="仿宋_GB2312" w:eastAsia="仿宋_GB2312" w:cs="仿宋_GB2312"/>
                <w:b/>
                <w:bCs/>
                <w:lang w:eastAsia="zh-CN"/>
              </w:rPr>
              <w:t>（三）其他要求</w:t>
            </w:r>
          </w:p>
          <w:p w14:paraId="0AE56FB7">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版权：全部内容需在合法范围内收集，且由此产生的费用已包含在此采购金额范围内。</w:t>
            </w:r>
          </w:p>
          <w:p w14:paraId="5CEB2CD7">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著作权合法：供应商应保证采购方在使用合同项下工作成果的任何一部分时免受第三方提出的侵犯专利权、著作权、名誉权、肖像权、姓名权、商标权或工业设计权等相关权利的起诉。</w:t>
            </w:r>
          </w:p>
          <w:p w14:paraId="6767DAD2">
            <w:pPr>
              <w:pStyle w:val="4"/>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侵权纠纷处置：如任何第三方对此提出起诉或者异议，供应商应负责与之交涉并承担由此引起的一切法律责任及经济损失。</w:t>
            </w:r>
          </w:p>
          <w:p w14:paraId="4241BEB8">
            <w:pPr>
              <w:pStyle w:val="4"/>
              <w:rPr>
                <w:rFonts w:hint="default" w:ascii="仿宋_GB2312" w:hAnsi="仿宋_GB2312" w:eastAsia="仿宋_GB2312" w:cs="仿宋_GB2312"/>
                <w:highlight w:val="none"/>
                <w:lang w:val="en-US" w:eastAsia="zh-CN"/>
              </w:rPr>
            </w:pPr>
            <w:r>
              <w:rPr>
                <w:rFonts w:ascii="仿宋_GB2312" w:hAnsi="仿宋_GB2312" w:eastAsia="仿宋_GB2312" w:cs="仿宋_GB2312"/>
                <w:highlight w:val="none"/>
                <w:lang w:eastAsia="zh-CN"/>
              </w:rPr>
              <w:t>（四）磋商报价</w:t>
            </w:r>
            <w:r>
              <w:rPr>
                <w:rFonts w:hint="eastAsia" w:ascii="仿宋_GB2312" w:hAnsi="仿宋_GB2312" w:eastAsia="仿宋_GB2312" w:cs="仿宋_GB2312"/>
                <w:highlight w:val="none"/>
                <w:lang w:val="en-US" w:eastAsia="zh-CN"/>
              </w:rPr>
              <w:t>要求</w:t>
            </w:r>
          </w:p>
          <w:p w14:paraId="1C1BB84A">
            <w:pPr>
              <w:pStyle w:val="4"/>
              <w:ind w:firstLine="400" w:firstLineChars="200"/>
              <w:rPr>
                <w:rFonts w:hint="eastAsia" w:ascii="仿宋_GB2312" w:hAnsi="仿宋_GB2312" w:eastAsia="仿宋_GB2312" w:cs="仿宋_GB2312"/>
                <w:highlight w:val="yellow"/>
                <w:lang w:val="en-US" w:eastAsia="zh-CN"/>
              </w:rPr>
            </w:pPr>
            <w:r>
              <w:rPr>
                <w:rFonts w:ascii="仿宋_GB2312" w:hAnsi="仿宋_GB2312" w:eastAsia="仿宋_GB2312" w:cs="仿宋_GB2312"/>
                <w:highlight w:val="none"/>
                <w:lang w:eastAsia="zh-CN"/>
              </w:rPr>
              <w:t>1、本项目服务商考虑最大风险报出</w:t>
            </w:r>
            <w:r>
              <w:rPr>
                <w:rFonts w:hint="eastAsia" w:ascii="仿宋_GB2312" w:hAnsi="仿宋_GB2312" w:eastAsia="仿宋_GB2312" w:cs="仿宋_GB2312"/>
                <w:highlight w:val="none"/>
                <w:lang w:val="en-US" w:eastAsia="zh-CN"/>
              </w:rPr>
              <w:t>完成所有服务内容及要求的</w:t>
            </w:r>
            <w:r>
              <w:rPr>
                <w:rFonts w:ascii="仿宋_GB2312" w:hAnsi="仿宋_GB2312" w:eastAsia="仿宋_GB2312" w:cs="仿宋_GB2312"/>
                <w:highlight w:val="none"/>
                <w:lang w:eastAsia="zh-CN"/>
              </w:rPr>
              <w:t>磋商总价</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同时需按照分项报价表格式报出</w:t>
            </w:r>
            <w:r>
              <w:rPr>
                <w:rFonts w:ascii="仿宋_GB2312" w:hAnsi="仿宋_GB2312" w:eastAsia="仿宋_GB2312" w:cs="仿宋_GB2312"/>
                <w:highlight w:val="none"/>
                <w:lang w:eastAsia="zh-CN"/>
              </w:rPr>
              <w:t>参会嘉宾落地接待</w:t>
            </w:r>
            <w:r>
              <w:rPr>
                <w:rFonts w:hint="eastAsia" w:ascii="仿宋_GB2312" w:hAnsi="仿宋_GB2312" w:eastAsia="仿宋_GB2312" w:cs="仿宋_GB2312"/>
                <w:highlight w:val="none"/>
                <w:lang w:val="en-US" w:eastAsia="zh-CN"/>
              </w:rPr>
              <w:t>相关的</w:t>
            </w:r>
            <w:r>
              <w:rPr>
                <w:rFonts w:ascii="仿宋_GB2312" w:hAnsi="仿宋_GB2312" w:eastAsia="仿宋_GB2312" w:cs="仿宋_GB2312"/>
                <w:highlight w:val="none"/>
                <w:lang w:eastAsia="zh-CN"/>
              </w:rPr>
              <w:t>住宿、餐饮、交通</w:t>
            </w:r>
            <w:r>
              <w:rPr>
                <w:rFonts w:hint="eastAsia" w:ascii="仿宋_GB2312" w:hAnsi="仿宋_GB2312" w:eastAsia="仿宋_GB2312" w:cs="仿宋_GB2312"/>
                <w:highlight w:val="none"/>
                <w:lang w:val="en-US" w:eastAsia="zh-CN"/>
              </w:rPr>
              <w:t>费用单价，以及</w:t>
            </w:r>
            <w:r>
              <w:rPr>
                <w:rFonts w:ascii="仿宋_GB2312" w:hAnsi="仿宋_GB2312" w:eastAsia="仿宋_GB2312" w:cs="仿宋_GB2312"/>
                <w:highlight w:val="none"/>
                <w:lang w:eastAsia="zh-CN"/>
              </w:rPr>
              <w:t>工作人员工作餐、工作用车</w:t>
            </w:r>
            <w:r>
              <w:rPr>
                <w:rFonts w:hint="eastAsia" w:ascii="仿宋_GB2312" w:hAnsi="仿宋_GB2312" w:eastAsia="仿宋_GB2312" w:cs="仿宋_GB2312"/>
                <w:highlight w:val="none"/>
                <w:lang w:val="en-US" w:eastAsia="zh-CN"/>
              </w:rPr>
              <w:t>费用单价。活动结束后，</w:t>
            </w:r>
            <w:r>
              <w:rPr>
                <w:rFonts w:hint="eastAsia" w:ascii="仿宋_GB2312" w:hAnsi="仿宋_GB2312" w:eastAsia="仿宋_GB2312" w:cs="仿宋_GB2312"/>
                <w:highlight w:val="none"/>
              </w:rPr>
              <w:t>按照所报单价乘以实际</w:t>
            </w:r>
            <w:r>
              <w:rPr>
                <w:rFonts w:hint="eastAsia" w:ascii="仿宋_GB2312" w:hAnsi="仿宋_GB2312" w:eastAsia="仿宋_GB2312" w:cs="仿宋_GB2312"/>
                <w:highlight w:val="none"/>
                <w:lang w:val="en-US" w:eastAsia="zh-CN"/>
              </w:rPr>
              <w:t>数量</w:t>
            </w:r>
            <w:r>
              <w:rPr>
                <w:rFonts w:hint="eastAsia" w:ascii="仿宋_GB2312" w:hAnsi="仿宋_GB2312" w:eastAsia="仿宋_GB2312" w:cs="仿宋_GB2312"/>
                <w:highlight w:val="none"/>
              </w:rPr>
              <w:t>据实结算</w:t>
            </w:r>
            <w:r>
              <w:rPr>
                <w:rFonts w:hint="eastAsia" w:ascii="仿宋_GB2312" w:hAnsi="仿宋_GB2312" w:eastAsia="仿宋_GB2312" w:cs="仿宋_GB2312"/>
                <w:highlight w:val="none"/>
                <w:lang w:val="en-US" w:eastAsia="zh-CN"/>
              </w:rPr>
              <w:t>此部分费用</w:t>
            </w:r>
            <w:r>
              <w:rPr>
                <w:rFonts w:hint="eastAsia" w:ascii="仿宋_GB2312" w:hAnsi="仿宋_GB2312" w:eastAsia="仿宋_GB2312" w:cs="仿宋_GB2312"/>
                <w:highlight w:val="none"/>
                <w:lang w:eastAsia="zh-CN"/>
              </w:rPr>
              <w:t>。</w:t>
            </w:r>
          </w:p>
        </w:tc>
      </w:tr>
    </w:tbl>
    <w:p w14:paraId="1BF4553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853A1D"/>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2026-09-11T09:32:07Z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