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版本号：TWZB2026-10720260724001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2026年农房宅基地化解问题新登记数据质检与整改汇交、林权登记数据更新汇交项目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TWZB2026-107</w:t>
      </w:r>
      <w:r>
        <w:br/>
      </w:r>
      <w:r>
        <w:br/>
      </w:r>
      <w:r>
        <w:br/>
      </w:r>
    </w:p>
    <w:p>
      <w:pPr>
        <w:pStyle w:val="null3"/>
        <w:jc w:val="center"/>
        <w:outlineLvl w:val="2"/>
      </w:pPr>
      <w:r>
        <w:rPr>
          <w:rFonts w:ascii="仿宋_GB2312" w:hAnsi="仿宋_GB2312" w:cs="仿宋_GB2312" w:eastAsia="仿宋_GB2312"/>
          <w:sz w:val="28"/>
          <w:b/>
        </w:rPr>
        <w:t>陕西省不动产登记服务中心</w:t>
      </w:r>
    </w:p>
    <w:p>
      <w:pPr>
        <w:pStyle w:val="null3"/>
        <w:jc w:val="center"/>
        <w:outlineLvl w:val="2"/>
      </w:pPr>
      <w:r>
        <w:rPr>
          <w:rFonts w:ascii="仿宋_GB2312" w:hAnsi="仿宋_GB2312" w:cs="仿宋_GB2312" w:eastAsia="仿宋_GB2312"/>
          <w:sz w:val="28"/>
          <w:b/>
        </w:rPr>
        <w:t>陕西天沃工程项目管理有限公司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陕西天沃工程项目管理有限公司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陕西省不动产登记服务中心</w:t>
      </w:r>
      <w:r>
        <w:rPr>
          <w:rFonts w:ascii="仿宋_GB2312" w:hAnsi="仿宋_GB2312" w:cs="仿宋_GB2312" w:eastAsia="仿宋_GB2312"/>
        </w:rPr>
        <w:t>委托，拟对</w:t>
      </w:r>
      <w:r>
        <w:rPr>
          <w:rFonts w:ascii="仿宋_GB2312" w:hAnsi="仿宋_GB2312" w:cs="仿宋_GB2312" w:eastAsia="仿宋_GB2312"/>
        </w:rPr>
        <w:t>2026年农房宅基地化解问题新登记数据质检与整改汇交、林权登记数据更新汇交项目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TWZB2026-107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2026年农房宅基地化解问题新登记数据质检与整改汇交、林权登记数据更新汇交项目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2026年农房宅基地化解问题新登记数据质检与整改汇交、林权登记数据更新汇交项目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采购包1（2026年农房宅基地化解问题新登记数据质检与整改汇交、林权登记数据更新汇交项目）：属于专门面向中小企业采购。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10、测绘资质：投标人须具备甲级测绘资质，专业范围必须包含（界线与不动产测绘及地理信息系统工程）；</w:t>
      </w:r>
    </w:p>
    <w:p>
      <w:pPr>
        <w:pStyle w:val="null3"/>
      </w:pPr>
      <w:r>
        <w:rPr>
          <w:rFonts w:ascii="仿宋_GB2312" w:hAnsi="仿宋_GB2312" w:cs="仿宋_GB2312" w:eastAsia="仿宋_GB2312"/>
        </w:rPr>
        <w:t>11、非联合体投标：本项目不接受联合体投标；</w:t>
      </w:r>
    </w:p>
    <w:p>
      <w:pPr>
        <w:pStyle w:val="null3"/>
      </w:pPr>
      <w:r>
        <w:rPr>
          <w:rFonts w:ascii="仿宋_GB2312" w:hAnsi="仿宋_GB2312" w:cs="仿宋_GB2312" w:eastAsia="仿宋_GB2312"/>
        </w:rPr>
        <w:t>12、中小企业声明函：本项目专门面向中小企业采购，供应商须提供中小企业声明函。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陕西省不动产登记服务中心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西安市高新区高新路52号高科大厦6层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029-89197237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陕西天沃工程项目管理有限公司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陕西省西安市经济技术开发区凤城十一路文景广场3号楼1202室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18092125776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开户名称：陕西天沃工程项目管理有限公司</w:t>
            </w:r>
          </w:p>
          <w:p>
            <w:pPr>
              <w:pStyle w:val="null3"/>
            </w:pPr>
            <w:r>
              <w:rPr>
                <w:rFonts w:ascii="仿宋_GB2312" w:hAnsi="仿宋_GB2312" w:cs="仿宋_GB2312" w:eastAsia="仿宋_GB2312"/>
              </w:rPr>
              <w:t>开户银行：北京银行股份有限公司西安北客站科技支行</w:t>
            </w:r>
          </w:p>
          <w:p>
            <w:pPr>
              <w:pStyle w:val="null3"/>
            </w:pPr>
            <w:r>
              <w:rPr>
                <w:rFonts w:ascii="仿宋_GB2312" w:hAnsi="仿宋_GB2312" w:cs="仿宋_GB2312" w:eastAsia="仿宋_GB2312"/>
              </w:rPr>
              <w:t>银行账号：2000 0051 0025 0005 6215 628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代理服务费收费标准：中标(或成交)服务费以中标（成交）价为基数，参照《招标代理服务收费管理暂行办法》计价格[2002]1980号文和发改价格[2011]534号文件规定标准收取。由成交方向受托人支付。 代理费缴纳账户： 开户名称：陕西天沃工程项目管理有限公司 开户银行：中国建设银行股份有限公司西安凤城十二路支行 银行账号：6105 0177 0045 0000 0371 转账事由：TWZB2026-107项目代理服务费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陕西省不动产登记服务中心</w:t>
      </w:r>
      <w:r>
        <w:rPr>
          <w:rFonts w:ascii="仿宋_GB2312" w:hAnsi="仿宋_GB2312" w:cs="仿宋_GB2312" w:eastAsia="仿宋_GB2312"/>
        </w:rPr>
        <w:t>和</w:t>
      </w:r>
      <w:r>
        <w:rPr>
          <w:rFonts w:ascii="仿宋_GB2312" w:hAnsi="仿宋_GB2312" w:cs="仿宋_GB2312" w:eastAsia="仿宋_GB2312"/>
        </w:rPr>
        <w:t>陕西天沃工程项目管理有限公司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陕西省不动产登记服务中心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陕西天沃工程项目管理有限公司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陕西省不动产登记服务中心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陕西天沃工程项目管理有限公司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联系电话：18092125776</w:t>
      </w:r>
    </w:p>
    <w:p>
      <w:pPr>
        <w:pStyle w:val="null3"/>
      </w:pPr>
      <w:r>
        <w:rPr>
          <w:rFonts w:ascii="仿宋_GB2312" w:hAnsi="仿宋_GB2312" w:cs="仿宋_GB2312" w:eastAsia="仿宋_GB2312"/>
        </w:rPr>
        <w:t>地址： 陕西省西安市经济技术开发区凤城十一路文景广场3号楼1202室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 年农房宅基地化解问题新登记数据质检与整改汇交、林权登记数据更新汇交项目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 年农房宅基地化解问题新登记数据质检与整改汇交、林权登记数据更新汇交项目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 年农房宅基地化解问题新登记数据质检与整改汇交、林权登记数据更新汇交项目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00"/>
            </w:pPr>
            <w:r>
              <w:rPr>
                <w:rFonts w:ascii="仿宋_GB2312" w:hAnsi="仿宋_GB2312" w:cs="仿宋_GB2312" w:eastAsia="仿宋_GB2312"/>
              </w:rPr>
              <w:t>为提升陕西省不动产登记服务能力、提高不动产登记数据质量，持续对农房宅基地登记数据及林权整合数据进行质检，本期项目立足现有农房宅基地汇交数据、林权汇交数据，开展三项核心工作：一是完成农房宅基地汇交数据质检，整改数据问题、消除偏差；二是完成林权更新汇交数据质量核验及国家级汇交；三是指导区县化解农房宅基地历史遗留问题，推动化解率。</w:t>
            </w:r>
          </w:p>
          <w:p>
            <w:pPr>
              <w:pStyle w:val="null3"/>
            </w:pPr>
            <w:r>
              <w:rPr>
                <w:rFonts w:ascii="仿宋_GB2312" w:hAnsi="仿宋_GB2312" w:cs="仿宋_GB2312" w:eastAsia="仿宋_GB2312"/>
                <w:b/>
              </w:rPr>
              <w:t>二、主要采购内容：</w:t>
            </w:r>
          </w:p>
          <w:p>
            <w:pPr>
              <w:pStyle w:val="null3"/>
              <w:ind w:firstLine="400"/>
            </w:pPr>
            <w:r>
              <w:rPr>
                <w:rFonts w:ascii="仿宋_GB2312" w:hAnsi="仿宋_GB2312" w:cs="仿宋_GB2312" w:eastAsia="仿宋_GB2312"/>
              </w:rPr>
              <w:t>编制</w:t>
            </w:r>
            <w:r>
              <w:rPr>
                <w:rFonts w:ascii="仿宋_GB2312" w:hAnsi="仿宋_GB2312" w:cs="仿宋_GB2312" w:eastAsia="仿宋_GB2312"/>
              </w:rPr>
              <w:t>2026年农房宅基地化解问题新登记数据质检与整改汇交、林权登记数据更新汇交项目技术方案、指导区县化解农房宅基地历史遗留问题、完成农房宅基地、林权汇交数据质检与国家级汇交工作，编写项目技术总结报告。</w:t>
            </w:r>
          </w:p>
          <w:p>
            <w:pPr>
              <w:pStyle w:val="null3"/>
            </w:pPr>
            <w:r>
              <w:rPr>
                <w:rFonts w:ascii="仿宋_GB2312" w:hAnsi="仿宋_GB2312" w:cs="仿宋_GB2312" w:eastAsia="仿宋_GB2312"/>
                <w:b/>
              </w:rPr>
              <w:t>三、工作任务：</w:t>
            </w:r>
          </w:p>
          <w:p>
            <w:pPr>
              <w:pStyle w:val="null3"/>
              <w:ind w:firstLine="400"/>
            </w:pPr>
            <w:r>
              <w:rPr>
                <w:rFonts w:ascii="仿宋_GB2312" w:hAnsi="仿宋_GB2312" w:cs="仿宋_GB2312" w:eastAsia="仿宋_GB2312"/>
              </w:rPr>
              <w:t>1.编制2026年农房宅基地化解问题新登记数据质检与整改汇交、林权登记数据更新汇交项目技术方案。</w:t>
            </w:r>
          </w:p>
          <w:p>
            <w:pPr>
              <w:pStyle w:val="null3"/>
              <w:ind w:firstLine="400"/>
            </w:pPr>
            <w:r>
              <w:rPr>
                <w:rFonts w:ascii="仿宋_GB2312" w:hAnsi="仿宋_GB2312" w:cs="仿宋_GB2312" w:eastAsia="仿宋_GB2312"/>
              </w:rPr>
              <w:t>2.农房宅基地确权存在一户多宅、农房用地未经审批、农房未经规划审批、宅基地超面积等遗留问题，指导区县化解农房宅基地历史遗留问题，推动化解率，并建立农房宅基地历史遗留问题化解台账规范管理，按季度比对农房宅基地登记发证情况，并形成台账。</w:t>
            </w:r>
          </w:p>
          <w:p>
            <w:pPr>
              <w:pStyle w:val="null3"/>
              <w:ind w:firstLine="400"/>
            </w:pPr>
            <w:r>
              <w:rPr>
                <w:rFonts w:ascii="仿宋_GB2312" w:hAnsi="仿宋_GB2312" w:cs="仿宋_GB2312" w:eastAsia="仿宋_GB2312"/>
              </w:rPr>
              <w:t>3.完成农房宅基地汇交数据全量质检与国家级汇交工作。</w:t>
            </w:r>
          </w:p>
          <w:p>
            <w:pPr>
              <w:pStyle w:val="null3"/>
              <w:ind w:firstLine="400"/>
            </w:pPr>
            <w:r>
              <w:rPr>
                <w:rFonts w:ascii="仿宋_GB2312" w:hAnsi="仿宋_GB2312" w:cs="仿宋_GB2312" w:eastAsia="仿宋_GB2312"/>
              </w:rPr>
              <w:t>4.完成指定区域林权更新数据质检与国家级汇交工作。</w:t>
            </w:r>
          </w:p>
          <w:p>
            <w:pPr>
              <w:pStyle w:val="null3"/>
              <w:ind w:firstLine="400"/>
            </w:pPr>
            <w:r>
              <w:rPr>
                <w:rFonts w:ascii="仿宋_GB2312" w:hAnsi="仿宋_GB2312" w:cs="仿宋_GB2312" w:eastAsia="仿宋_GB2312"/>
              </w:rPr>
              <w:t>5.编制项目技术总结报告。</w:t>
            </w:r>
          </w:p>
          <w:p>
            <w:pPr>
              <w:pStyle w:val="null3"/>
              <w:ind w:firstLine="400"/>
            </w:pPr>
            <w:r>
              <w:rPr>
                <w:rFonts w:ascii="仿宋_GB2312" w:hAnsi="仿宋_GB2312" w:cs="仿宋_GB2312" w:eastAsia="仿宋_GB2312"/>
              </w:rPr>
              <w:t>6.召开1-2次农房宅基地登记发证专项工作会。</w:t>
            </w:r>
          </w:p>
          <w:p>
            <w:pPr>
              <w:pStyle w:val="null3"/>
            </w:pPr>
            <w:r>
              <w:rPr>
                <w:rFonts w:ascii="仿宋_GB2312" w:hAnsi="仿宋_GB2312" w:cs="仿宋_GB2312" w:eastAsia="仿宋_GB2312"/>
                <w:b/>
              </w:rPr>
              <w:t>四、技术标准与依据</w:t>
            </w:r>
          </w:p>
          <w:p>
            <w:pPr>
              <w:pStyle w:val="null3"/>
              <w:ind w:firstLine="400"/>
            </w:pPr>
            <w:r>
              <w:rPr>
                <w:rFonts w:ascii="仿宋_GB2312" w:hAnsi="仿宋_GB2312" w:cs="仿宋_GB2312" w:eastAsia="仿宋_GB2312"/>
              </w:rPr>
              <w:t>1.《关于分类化解历史遗留问题扎实做好农房宅基地确权登记工作的通知》（陕自然资发〔2026〕303号）；</w:t>
            </w:r>
          </w:p>
          <w:p>
            <w:pPr>
              <w:pStyle w:val="null3"/>
              <w:ind w:firstLine="400"/>
            </w:pPr>
            <w:r>
              <w:rPr>
                <w:rFonts w:ascii="仿宋_GB2312" w:hAnsi="仿宋_GB2312" w:cs="仿宋_GB2312" w:eastAsia="仿宋_GB2312"/>
              </w:rPr>
              <w:t>2.自然资源部办公厅 农业农村部办公厅国家林业和草原局办公室关于开展农村不动产登记工作先行区建设助力乡村全面振兴的通知；</w:t>
            </w:r>
          </w:p>
          <w:p>
            <w:pPr>
              <w:pStyle w:val="null3"/>
              <w:ind w:firstLine="400"/>
            </w:pPr>
            <w:r>
              <w:rPr>
                <w:rFonts w:ascii="仿宋_GB2312" w:hAnsi="仿宋_GB2312" w:cs="仿宋_GB2312" w:eastAsia="仿宋_GB2312"/>
              </w:rPr>
              <w:t>3.自然资源部 国家林业和草原局《“一张图”建设工作方案》自然资发〔2025〕58号；</w:t>
            </w:r>
          </w:p>
          <w:p>
            <w:pPr>
              <w:pStyle w:val="null3"/>
              <w:ind w:firstLine="400"/>
            </w:pPr>
            <w:r>
              <w:rPr>
                <w:rFonts w:ascii="仿宋_GB2312" w:hAnsi="仿宋_GB2312" w:cs="仿宋_GB2312" w:eastAsia="仿宋_GB2312"/>
              </w:rPr>
              <w:t>4.《不动产登记数据库标准》（TD/T1066-2021）；</w:t>
            </w:r>
          </w:p>
          <w:p>
            <w:pPr>
              <w:pStyle w:val="null3"/>
              <w:ind w:firstLine="400"/>
            </w:pPr>
            <w:r>
              <w:rPr>
                <w:rFonts w:ascii="仿宋_GB2312" w:hAnsi="仿宋_GB2312" w:cs="仿宋_GB2312" w:eastAsia="仿宋_GB2312"/>
              </w:rPr>
              <w:t>5.《不动产登记数据整合建库技术规范》（TD/T1067-2021）；</w:t>
            </w:r>
          </w:p>
          <w:p>
            <w:pPr>
              <w:pStyle w:val="null3"/>
              <w:ind w:firstLine="400"/>
            </w:pPr>
            <w:r>
              <w:rPr>
                <w:rFonts w:ascii="仿宋_GB2312" w:hAnsi="仿宋_GB2312" w:cs="仿宋_GB2312" w:eastAsia="仿宋_GB2312"/>
              </w:rPr>
              <w:t>6.《不动产登记数据成果汇交规范》（TD/T1078-2023）；</w:t>
            </w:r>
          </w:p>
          <w:p>
            <w:pPr>
              <w:pStyle w:val="null3"/>
              <w:ind w:firstLine="400"/>
            </w:pPr>
            <w:r>
              <w:rPr>
                <w:rFonts w:ascii="仿宋_GB2312" w:hAnsi="仿宋_GB2312" w:cs="仿宋_GB2312" w:eastAsia="仿宋_GB2312"/>
              </w:rPr>
              <w:t>7.《不动产登记数据库标准（林权等扩展内容）（试行）》；</w:t>
            </w:r>
          </w:p>
          <w:p>
            <w:pPr>
              <w:pStyle w:val="null3"/>
              <w:ind w:firstLine="400"/>
            </w:pPr>
            <w:r>
              <w:rPr>
                <w:rFonts w:ascii="仿宋_GB2312" w:hAnsi="仿宋_GB2312" w:cs="仿宋_GB2312" w:eastAsia="仿宋_GB2312"/>
              </w:rPr>
              <w:t>8.《林权登记成果整合汇交技术规范》。</w:t>
            </w:r>
          </w:p>
          <w:p>
            <w:pPr>
              <w:pStyle w:val="null3"/>
            </w:pPr>
            <w:r>
              <w:rPr>
                <w:rFonts w:ascii="仿宋_GB2312" w:hAnsi="仿宋_GB2312" w:cs="仿宋_GB2312" w:eastAsia="仿宋_GB2312"/>
                <w:b/>
              </w:rPr>
              <w:t>五、</w:t>
            </w:r>
            <w:r>
              <w:rPr>
                <w:rFonts w:ascii="仿宋_GB2312" w:hAnsi="仿宋_GB2312" w:cs="仿宋_GB2312" w:eastAsia="仿宋_GB2312"/>
                <w:b/>
              </w:rPr>
              <w:t>成果要求</w:t>
            </w:r>
            <w:r>
              <w:rPr>
                <w:rFonts w:ascii="仿宋_GB2312" w:hAnsi="仿宋_GB2312" w:cs="仿宋_GB2312" w:eastAsia="仿宋_GB2312"/>
                <w:b/>
              </w:rPr>
              <w:t>：</w:t>
            </w:r>
          </w:p>
          <w:p>
            <w:pPr>
              <w:pStyle w:val="null3"/>
              <w:ind w:firstLine="400"/>
            </w:pPr>
            <w:r>
              <w:rPr>
                <w:rFonts w:ascii="仿宋_GB2312" w:hAnsi="仿宋_GB2312" w:cs="仿宋_GB2312" w:eastAsia="仿宋_GB2312"/>
              </w:rPr>
              <w:t>1.方案编制与前期准备类成果</w:t>
            </w:r>
          </w:p>
          <w:p>
            <w:pPr>
              <w:pStyle w:val="null3"/>
            </w:pPr>
            <w:r>
              <w:rPr>
                <w:rFonts w:ascii="仿宋_GB2312" w:hAnsi="仿宋_GB2312" w:cs="仿宋_GB2312" w:eastAsia="仿宋_GB2312"/>
              </w:rPr>
              <w:t>技术方案（含坐标系统、数据库标准、作业流程、质检细则）</w:t>
            </w:r>
          </w:p>
          <w:p>
            <w:pPr>
              <w:pStyle w:val="null3"/>
              <w:ind w:firstLine="400"/>
            </w:pPr>
            <w:r>
              <w:rPr>
                <w:rFonts w:ascii="仿宋_GB2312" w:hAnsi="仿宋_GB2312" w:cs="仿宋_GB2312" w:eastAsia="仿宋_GB2312"/>
              </w:rPr>
              <w:t>2.台账统计类成果</w:t>
            </w:r>
          </w:p>
          <w:p>
            <w:pPr>
              <w:pStyle w:val="null3"/>
              <w:ind w:firstLine="400"/>
            </w:pPr>
            <w:r>
              <w:rPr>
                <w:rFonts w:ascii="仿宋_GB2312" w:hAnsi="仿宋_GB2312" w:cs="仿宋_GB2312" w:eastAsia="仿宋_GB2312"/>
              </w:rPr>
              <w:t>（</w:t>
            </w:r>
            <w:r>
              <w:rPr>
                <w:rFonts w:ascii="仿宋_GB2312" w:hAnsi="仿宋_GB2312" w:cs="仿宋_GB2312" w:eastAsia="仿宋_GB2312"/>
              </w:rPr>
              <w:t>1）2026年农房宅基地、林权数据汇交台账</w:t>
            </w:r>
          </w:p>
          <w:p>
            <w:pPr>
              <w:pStyle w:val="null3"/>
              <w:ind w:firstLine="400"/>
            </w:pPr>
            <w:r>
              <w:rPr>
                <w:rFonts w:ascii="仿宋_GB2312" w:hAnsi="仿宋_GB2312" w:cs="仿宋_GB2312" w:eastAsia="仿宋_GB2312"/>
              </w:rPr>
              <w:t>陕西省农房宅基地数据汇交情况统计表</w:t>
            </w:r>
          </w:p>
          <w:p>
            <w:pPr>
              <w:pStyle w:val="null3"/>
              <w:ind w:firstLine="400"/>
            </w:pPr>
            <w:r>
              <w:rPr>
                <w:rFonts w:ascii="仿宋_GB2312" w:hAnsi="仿宋_GB2312" w:cs="仿宋_GB2312" w:eastAsia="仿宋_GB2312"/>
              </w:rPr>
              <w:t>陕西省</w:t>
            </w:r>
            <w:r>
              <w:rPr>
                <w:rFonts w:ascii="仿宋_GB2312" w:hAnsi="仿宋_GB2312" w:cs="仿宋_GB2312" w:eastAsia="仿宋_GB2312"/>
              </w:rPr>
              <w:t>历史林权登记资料移交、数据汇交及业务办理情况统计表</w:t>
            </w:r>
          </w:p>
          <w:p>
            <w:pPr>
              <w:pStyle w:val="null3"/>
              <w:ind w:firstLine="400"/>
            </w:pPr>
            <w:r>
              <w:rPr>
                <w:rFonts w:ascii="仿宋_GB2312" w:hAnsi="仿宋_GB2312" w:cs="仿宋_GB2312" w:eastAsia="仿宋_GB2312"/>
              </w:rPr>
              <w:t>3.文字成果</w:t>
            </w:r>
          </w:p>
          <w:p>
            <w:pPr>
              <w:pStyle w:val="null3"/>
              <w:ind w:firstLine="400"/>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农房宅基地汇交成果省级质量检查报告（以区县为单位）</w:t>
            </w:r>
          </w:p>
          <w:p>
            <w:pPr>
              <w:pStyle w:val="null3"/>
              <w:ind w:firstLine="400"/>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林权汇交成果省级质量检查报告（以区县为单位）</w:t>
            </w:r>
          </w:p>
          <w:p>
            <w:pPr>
              <w:pStyle w:val="null3"/>
              <w:ind w:firstLine="400"/>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《农房宅基地登记历史遗留问题处置工作台账》《</w:t>
            </w:r>
            <w:r>
              <w:rPr>
                <w:rFonts w:ascii="仿宋_GB2312" w:hAnsi="仿宋_GB2312" w:cs="仿宋_GB2312" w:eastAsia="仿宋_GB2312"/>
              </w:rPr>
              <w:t>农房宅基地历史遗留问题化解</w:t>
            </w:r>
            <w:r>
              <w:rPr>
                <w:rFonts w:ascii="仿宋_GB2312" w:hAnsi="仿宋_GB2312" w:cs="仿宋_GB2312" w:eastAsia="仿宋_GB2312"/>
              </w:rPr>
              <w:t>排查总报告》《</w:t>
            </w:r>
            <w:r>
              <w:rPr>
                <w:rFonts w:ascii="仿宋_GB2312" w:hAnsi="仿宋_GB2312" w:cs="仿宋_GB2312" w:eastAsia="仿宋_GB2312"/>
              </w:rPr>
              <w:t>农房宅基地历史遗留问题化解</w:t>
            </w:r>
            <w:r>
              <w:rPr>
                <w:rFonts w:ascii="仿宋_GB2312" w:hAnsi="仿宋_GB2312" w:cs="仿宋_GB2312" w:eastAsia="仿宋_GB2312"/>
              </w:rPr>
              <w:t>整改销号</w:t>
            </w:r>
            <w:r>
              <w:rPr>
                <w:rFonts w:ascii="仿宋_GB2312" w:hAnsi="仿宋_GB2312" w:cs="仿宋_GB2312" w:eastAsia="仿宋_GB2312"/>
              </w:rPr>
              <w:t>情况统计表</w:t>
            </w:r>
            <w:r>
              <w:rPr>
                <w:rFonts w:ascii="仿宋_GB2312" w:hAnsi="仿宋_GB2312" w:cs="仿宋_GB2312" w:eastAsia="仿宋_GB2312"/>
              </w:rPr>
              <w:t>》</w:t>
            </w:r>
            <w:r>
              <w:rPr>
                <w:rFonts w:ascii="仿宋_GB2312" w:hAnsi="仿宋_GB2312" w:cs="仿宋_GB2312" w:eastAsia="仿宋_GB2312"/>
              </w:rPr>
              <w:t>全省农房宅基地历史遗留问题化解典</w:t>
            </w:r>
          </w:p>
          <w:p>
            <w:pPr>
              <w:pStyle w:val="null3"/>
            </w:pPr>
            <w:r>
              <w:rPr>
                <w:rFonts w:ascii="仿宋_GB2312" w:hAnsi="仿宋_GB2312" w:cs="仿宋_GB2312" w:eastAsia="仿宋_GB2312"/>
              </w:rPr>
              <w:t>型案例分析材料。</w:t>
            </w:r>
          </w:p>
          <w:p>
            <w:pPr>
              <w:pStyle w:val="null3"/>
              <w:ind w:firstLine="400"/>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项目</w:t>
            </w:r>
            <w:r>
              <w:rPr>
                <w:rFonts w:ascii="仿宋_GB2312" w:hAnsi="仿宋_GB2312" w:cs="仿宋_GB2312" w:eastAsia="仿宋_GB2312"/>
              </w:rPr>
              <w:t>技术</w:t>
            </w:r>
            <w:r>
              <w:rPr>
                <w:rFonts w:ascii="仿宋_GB2312" w:hAnsi="仿宋_GB2312" w:cs="仿宋_GB2312" w:eastAsia="仿宋_GB2312"/>
              </w:rPr>
              <w:t>总结（整体工作开展全过程）</w:t>
            </w:r>
          </w:p>
          <w:p>
            <w:pPr>
              <w:pStyle w:val="null3"/>
              <w:ind w:firstLine="400"/>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项目资料归档目录、成果移交清单</w:t>
            </w:r>
          </w:p>
          <w:p>
            <w:pPr>
              <w:pStyle w:val="null3"/>
              <w:ind w:firstLine="400"/>
            </w:pPr>
            <w:r>
              <w:rPr>
                <w:rFonts w:ascii="仿宋_GB2312" w:hAnsi="仿宋_GB2312" w:cs="仿宋_GB2312" w:eastAsia="仿宋_GB2312"/>
              </w:rPr>
              <w:t>4.</w:t>
            </w:r>
            <w:r>
              <w:rPr>
                <w:rFonts w:ascii="仿宋_GB2312" w:hAnsi="仿宋_GB2312" w:cs="仿宋_GB2312" w:eastAsia="仿宋_GB2312"/>
              </w:rPr>
              <w:t>项目验收配套成果</w:t>
            </w:r>
          </w:p>
          <w:p>
            <w:pPr>
              <w:pStyle w:val="null3"/>
              <w:ind w:firstLine="400"/>
            </w:pPr>
            <w:r>
              <w:rPr>
                <w:rFonts w:ascii="仿宋_GB2312" w:hAnsi="仿宋_GB2312" w:cs="仿宋_GB2312" w:eastAsia="仿宋_GB2312"/>
              </w:rPr>
              <w:t>（</w:t>
            </w:r>
            <w:r>
              <w:rPr>
                <w:rFonts w:ascii="仿宋_GB2312" w:hAnsi="仿宋_GB2312" w:cs="仿宋_GB2312" w:eastAsia="仿宋_GB2312"/>
              </w:rPr>
              <w:t>1）项目验收申请资料、全套待验收成果资料</w:t>
            </w:r>
          </w:p>
          <w:p>
            <w:pPr>
              <w:pStyle w:val="null3"/>
              <w:ind w:firstLine="400"/>
            </w:pPr>
            <w:r>
              <w:rPr>
                <w:rFonts w:ascii="仿宋_GB2312" w:hAnsi="仿宋_GB2312" w:cs="仿宋_GB2312" w:eastAsia="仿宋_GB2312"/>
              </w:rPr>
              <w:t>（</w:t>
            </w:r>
            <w:r>
              <w:rPr>
                <w:rFonts w:ascii="仿宋_GB2312" w:hAnsi="仿宋_GB2312" w:cs="仿宋_GB2312" w:eastAsia="仿宋_GB2312"/>
              </w:rPr>
              <w:t>2）验收意见问题记录、整改回复材料</w:t>
            </w:r>
          </w:p>
          <w:p>
            <w:pPr>
              <w:pStyle w:val="null3"/>
              <w:ind w:firstLine="400"/>
            </w:pPr>
            <w:r>
              <w:rPr>
                <w:rFonts w:ascii="仿宋_GB2312" w:hAnsi="仿宋_GB2312" w:cs="仿宋_GB2312" w:eastAsia="仿宋_GB2312"/>
              </w:rPr>
              <w:t>5.</w:t>
            </w:r>
            <w:r>
              <w:rPr>
                <w:rFonts w:ascii="仿宋_GB2312" w:hAnsi="仿宋_GB2312" w:cs="仿宋_GB2312" w:eastAsia="仿宋_GB2312"/>
              </w:rPr>
              <w:t>归档交付成套载体成果</w:t>
            </w:r>
          </w:p>
          <w:p>
            <w:pPr>
              <w:pStyle w:val="null3"/>
              <w:ind w:firstLine="400"/>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纸质版全套成果</w:t>
            </w:r>
            <w:r>
              <w:rPr>
                <w:rFonts w:ascii="仿宋_GB2312" w:hAnsi="仿宋_GB2312" w:cs="仿宋_GB2312" w:eastAsia="仿宋_GB2312"/>
              </w:rPr>
              <w:t>1</w:t>
            </w:r>
            <w:r>
              <w:rPr>
                <w:rFonts w:ascii="仿宋_GB2312" w:hAnsi="仿宋_GB2312" w:cs="仿宋_GB2312" w:eastAsia="仿宋_GB2312"/>
              </w:rPr>
              <w:t>套</w:t>
            </w:r>
          </w:p>
          <w:p>
            <w:pPr>
              <w:pStyle w:val="null3"/>
              <w:ind w:firstLine="400"/>
            </w:pPr>
            <w:r>
              <w:rPr>
                <w:rFonts w:ascii="仿宋_GB2312" w:hAnsi="仿宋_GB2312" w:cs="仿宋_GB2312" w:eastAsia="仿宋_GB2312"/>
              </w:rPr>
              <w:t>（</w:t>
            </w:r>
            <w:r>
              <w:rPr>
                <w:rFonts w:ascii="仿宋_GB2312" w:hAnsi="仿宋_GB2312" w:cs="仿宋_GB2312" w:eastAsia="仿宋_GB2312"/>
              </w:rPr>
              <w:t>2）电子成果（台账统计类成果、全部文字成果）</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3）</w:t>
            </w:r>
            <w:r>
              <w:rPr>
                <w:rFonts w:ascii="仿宋_GB2312" w:hAnsi="仿宋_GB2312" w:cs="仿宋_GB2312" w:eastAsia="仿宋_GB2312"/>
                <w:sz w:val="21"/>
              </w:rPr>
              <w:t>成果移交清单、归档目录表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商须提供针对本项目的详细人员配备情况。要求拟派项目成员（驻场2人）相关专业人员搭配合理、职能健全，岗位分工明确、职责清晰，包括人员配备情况及水平、人员安排、专业配置、从业经历、参与工作经验等方面，均应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自签订合同之日起至2026年11月30日止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陕西省自然资源厅指定地点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1.项目验收由采购人或其委托的专家或第三方机构对项目进行验收，验收时，成交人应无条件予以配合并提供所需的全部资料； 2.验收依据：磋商文件、响应文件、合同文本、国内相应的标准、规范。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进度款，待项目验收合格后，达到付款条件起15个工作日内，支付合同总金额的40.0%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中的相关条款执行。（二）未按合同要求提供服务或服务质量不能满足本次磋商要求，甲方会同监督机构、采购代理机构有权终止合同和对乙方违约行为进行追究，同时按政府采购法的有关规定进行相应的处罚。②解决争议的方法：本合同在履行过程中发生的争议，由甲、乙双方当事人协商解决，协商不成的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质量标准：符合国家和行业相关技术标准和规范要求。2.供应商在采购人办理以上各期付款的支付手续前，应向采购人出具等额的符合国家规定的发票；3.上述时间不包括采购人正常办理支付报批手续的时间。4.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供应商资格条件证明文件.pdf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法定代表人委托授权书/法定代表人身份证明：提供法定代表人授权书（附法定代表人身份证复印件）及被授权代理人身份证复印件（法定代表人直接参加只需提供法定代表人身份证复印件）;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测绘资质</w:t>
            </w:r>
          </w:p>
        </w:tc>
        <w:tc>
          <w:tcPr>
            <w:tcW w:type="dxa" w:w="3322"/>
          </w:tcPr>
          <w:p>
            <w:pPr>
              <w:pStyle w:val="null3"/>
            </w:pPr>
            <w:r>
              <w:rPr>
                <w:rFonts w:ascii="仿宋_GB2312" w:hAnsi="仿宋_GB2312" w:cs="仿宋_GB2312" w:eastAsia="仿宋_GB2312"/>
              </w:rPr>
              <w:t>投标人须具备甲级测绘资质，专业范围必须包含（界线与不动产测绘及地理信息系统工程）；</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中小企业声明函 商务应答表 供应商资格条件证明文件.pdf 服务内容及服务要求应答表 供应商应提交的相关资格证明材料 磋商分项报价表.pdf 响应文件封面 残疾人福利性单位声明函 保证金交纳凭证.pdf 服务方案 响应函 磋商报价表.pdf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中小企业声明函 商务应答表 供应商资格条件证明文件.pdf 服务内容及服务要求应答表 供应商应提交的相关资格证明材料 报价表 业绩.pdf 磋商分项报价表.pdf 响应文件封面 残疾人福利性单位声明函 保证金交纳凭证.pdf 服务方案 标的清单 响应函 磋商报价表.pdf 项目团队.pdf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供应商资格条件证明文件.pdf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 磋商报价表.pdf 磋商分项报价表.pdf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商务应答表 服务内容及服务要求应答表 磋商报价表.pdf 磋商分项报价表.pdf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保证金交纳凭证.pdf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切实可行的服务方案，包含但不限于以下内容：①项目目标及任务；②技术方案；③服务保障措施；④工作计划进度排；⑤进度保证措施；每具有一项得2分，最多得10分，提供的方案中每有一处具有缺陷的扣 1 分，扣完为止。未提供不得分。（缺陷是指：存在不适用项目实际情况的情形、凭空编造、方案中内容前后不一致、前后逻辑错误、涉及的规范及标准错误、地点区域 错误、内容缺失、不符合项目实际情况等）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重点难点问题分析及应对措施</w:t>
            </w:r>
          </w:p>
        </w:tc>
        <w:tc>
          <w:tcPr>
            <w:tcW w:type="dxa" w:w="2492"/>
          </w:tcPr>
          <w:p>
            <w:pPr>
              <w:pStyle w:val="null3"/>
            </w:pPr>
            <w:r>
              <w:rPr>
                <w:rFonts w:ascii="仿宋_GB2312" w:hAnsi="仿宋_GB2312" w:cs="仿宋_GB2312" w:eastAsia="仿宋_GB2312"/>
              </w:rPr>
              <w:t>针对本项目提供的重点难点分析及应对措施，内容包括但不 限于：①项目可能存在的问题进行重点难点分析；②提出的解决方案；③项目实施的合理化建议；每具有一项得 3 分， 最多得 9 分，提供的方案中每有一处具有缺陷的扣 1.5分，扣完为止。未提供不得分。（缺陷是指：存在不适用项目实际情况的情形、凭空编造、方案中内容前后不一致、前后逻辑错误、涉及的规范及标准错误、地点区域 错误、内容缺失、不符合项目实际情况等）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数据安全防护措施</w:t>
            </w:r>
          </w:p>
        </w:tc>
        <w:tc>
          <w:tcPr>
            <w:tcW w:type="dxa" w:w="2492"/>
          </w:tcPr>
          <w:p>
            <w:pPr>
              <w:pStyle w:val="null3"/>
            </w:pPr>
            <w:r>
              <w:rPr>
                <w:rFonts w:ascii="仿宋_GB2312" w:hAnsi="仿宋_GB2312" w:cs="仿宋_GB2312" w:eastAsia="仿宋_GB2312"/>
              </w:rPr>
              <w:t>供应商具有完善的国家法律法规规定的数据安全防护制度和 措施，全面保证采购人信息不泄密，内容包括但不限于：① 数据安全防护组织机构及责任制健全；②数据安全防护宣传教育工作完备；③日常数据安全防护管理措施健全；④数据安全防护检查工作完善且合理，每具有一项得 3分，最多得12分，提供的方案中每有一处具有缺陷的扣 1.5 分，扣完为止。未提供不得分。（缺陷是指：存在不适用项目实际情况的情形、凭空编造、方案中内容前后不一致、前后逻辑错误、涉及的规范及标准错误、地点区域 错误、内容缺失、不符合项目实际情况等）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供应商根据本项目特点，提供服务承诺包括：①人员安排、 ②服务响应及服务保障措施、③后续服务措施。每具有一项得3分，最多得9分。提供的方案中每有一处具有缺陷的扣 1.5 分，扣完为止。未提供不得分。（缺陷是指：存在不适用项目实际情况的情形、凭空编造、方案中内容前后不一致、前后逻辑错误、涉及的规范及标准错误、地点区域 错误、内容缺失、不符合项目实际情况等）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供应商自2023年6月1日以来具有与本项目相关类似业绩的， 每提供一个类似项目业绩的，得 3 分，本项最多得 15 分； 注：附合同或中标通知书复印件，未提供或业绩时间不在有效期内的，该项业绩不得分。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业绩.pdf</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①拟投入的项目负责人具有测绘类高级（含副高级）工程师证书、注册测绘师证书、国家地理信息安全保密培训合格证书得 6 分，缺一项扣 2 分。 ②拟投入的技术负责人具有测绘类高级（含副高级）工程师证书、注册测绘师证书、不动产登记代理人（或土地登记代理人）证书得 6 分，缺一项扣 2 分。 ③拟投入的质量负责人具有测绘类高级（含副高级）工程师证书、注册测绘师证书、省级及以上测绘地理信息质量检查培训合格证书得 6 分，缺一项扣 2 分。 ④拟投入技术团队成员（不含项目负责人、技术负责人与质量负责人）中具有高级工程师证书的每一人得1 分，满分 5分。 注：以上所有人员须提供相关证书复印件及 2026 年 3 月至今 任意一个月本单位为其缴纳社保的证明复印件加盖公章。</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项目团队.pdf</w:t>
            </w:r>
          </w:p>
        </w:tc>
      </w:tr>
      <w:tr>
        <w:tc>
          <w:tcPr>
            <w:tcW w:type="dxa" w:w="831"/>
            <w:vMerge/>
          </w:tcPr>
          <w:p/>
        </w:tc>
        <w:tc>
          <w:tcPr>
            <w:tcW w:type="dxa" w:w="1661"/>
          </w:tcPr>
          <w:p>
            <w:pPr>
              <w:pStyle w:val="null3"/>
            </w:pPr>
            <w:r>
              <w:rPr>
                <w:rFonts w:ascii="仿宋_GB2312" w:hAnsi="仿宋_GB2312" w:cs="仿宋_GB2312" w:eastAsia="仿宋_GB2312"/>
              </w:rPr>
              <w:t>企业认证</w:t>
            </w:r>
          </w:p>
        </w:tc>
        <w:tc>
          <w:tcPr>
            <w:tcW w:type="dxa" w:w="2492"/>
          </w:tcPr>
          <w:p>
            <w:pPr>
              <w:pStyle w:val="null3"/>
            </w:pPr>
            <w:r>
              <w:rPr>
                <w:rFonts w:ascii="仿宋_GB2312" w:hAnsi="仿宋_GB2312" w:cs="仿宋_GB2312" w:eastAsia="仿宋_GB2312"/>
              </w:rPr>
              <w:t>具有ISO 9001质量管理体系认证、IS0/IEC 27001信息安全管理体系认证。（体系认证证书专业范围须包含界线与不动产测绘及地理信息系统工程）提供证书复印件和国家市场监督管理总局全国认证认可信息公共服务平台（http://cx.cnca.cn/CertECloud/index/index/page）查询截图并加盖公章。每提供一个证书得1分，本项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磋商报价表.pdf</w:t>
            </w:r>
          </w:p>
          <w:p>
            <w:pPr>
              <w:pStyle w:val="null3"/>
            </w:pPr>
            <w:r>
              <w:rPr>
                <w:rFonts w:ascii="仿宋_GB2312" w:hAnsi="仿宋_GB2312" w:cs="仿宋_GB2312" w:eastAsia="仿宋_GB2312"/>
              </w:rPr>
              <w:t>磋商分项报价表.pdf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磋商报价表.pdf</w:t>
            </w:r>
          </w:p>
          <w:p>
            <w:pPr>
              <w:pStyle w:val="null3"/>
            </w:pPr>
            <w:r>
              <w:rPr>
                <w:rFonts w:ascii="仿宋_GB2312" w:hAnsi="仿宋_GB2312" w:cs="仿宋_GB2312" w:eastAsia="仿宋_GB2312"/>
              </w:rPr>
              <w:t>磋商分项报价表.pdf</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详见附件：供应商资格条件证明文件.pdf</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详见附件：磋商报价表.pdf</w:t>
      </w:r>
    </w:p>
    <w:p>
      <w:pPr>
        <w:pStyle w:val="null3"/>
        <w:ind w:firstLine="960"/>
      </w:pPr>
      <w:r>
        <w:rPr>
          <w:rFonts w:ascii="仿宋_GB2312" w:hAnsi="仿宋_GB2312" w:cs="仿宋_GB2312" w:eastAsia="仿宋_GB2312"/>
        </w:rPr>
        <w:t>详见附件：磋商分项报价表.pdf</w:t>
      </w:r>
    </w:p>
    <w:p>
      <w:pPr>
        <w:pStyle w:val="null3"/>
        <w:ind w:firstLine="960"/>
      </w:pPr>
      <w:r>
        <w:rPr>
          <w:rFonts w:ascii="仿宋_GB2312" w:hAnsi="仿宋_GB2312" w:cs="仿宋_GB2312" w:eastAsia="仿宋_GB2312"/>
        </w:rPr>
        <w:t>详见附件：项目团队.pdf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详见附件：保证金交纳凭证.pdf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