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0D4FC">
      <w:pPr>
        <w:pStyle w:val="2"/>
        <w:bidi w:val="0"/>
        <w:jc w:val="center"/>
        <w:rPr>
          <w:rFonts w:hint="eastAsia" w:ascii="仿宋_GB2312" w:hAnsi="仿宋_GB2312" w:eastAsia="仿宋_GB2312" w:cs="仿宋_GB2312"/>
          <w:b/>
          <w:sz w:val="48"/>
          <w:lang w:val="en-US" w:eastAsia="zh-CN"/>
        </w:rPr>
      </w:pPr>
    </w:p>
    <w:p w14:paraId="0181EC69">
      <w:pPr>
        <w:pStyle w:val="2"/>
        <w:bidi w:val="0"/>
        <w:jc w:val="center"/>
        <w:rPr>
          <w:rFonts w:hint="eastAsia" w:ascii="仿宋_GB2312" w:hAnsi="仿宋_GB2312" w:eastAsia="仿宋_GB2312" w:cs="仿宋_GB2312"/>
          <w:b/>
          <w:sz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8"/>
          <w:lang w:val="en-US" w:eastAsia="zh-CN"/>
        </w:rPr>
        <w:t>2026年农房宅基地化解问题新登记数据质检与整改汇交、林权登记数据更新汇交项目</w:t>
      </w:r>
    </w:p>
    <w:p w14:paraId="5234D7CE">
      <w:pPr>
        <w:pStyle w:val="2"/>
        <w:bidi w:val="0"/>
        <w:jc w:val="center"/>
        <w:rPr>
          <w:rFonts w:hint="eastAsia" w:ascii="仿宋_GB2312" w:hAnsi="仿宋_GB2312" w:eastAsia="仿宋_GB2312" w:cs="仿宋_GB2312"/>
          <w:b/>
          <w:sz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8"/>
          <w:lang w:val="en-US" w:eastAsia="zh-CN"/>
        </w:rPr>
        <w:t>服务合同</w:t>
      </w:r>
    </w:p>
    <w:p w14:paraId="32ABBDCB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（仅供参考）</w:t>
      </w:r>
    </w:p>
    <w:p w14:paraId="7D0A0356">
      <w:pPr>
        <w:rPr>
          <w:rFonts w:hint="eastAsia"/>
          <w:lang w:val="en-US" w:eastAsia="zh-CN"/>
        </w:rPr>
      </w:pPr>
    </w:p>
    <w:p w14:paraId="27A89464">
      <w:pPr>
        <w:pStyle w:val="7"/>
        <w:jc w:val="center"/>
        <w:outlineLvl w:val="0"/>
        <w:rPr>
          <w:rFonts w:hint="eastAsia" w:ascii="仿宋_GB2312" w:hAnsi="仿宋_GB2312" w:eastAsia="仿宋_GB2312" w:cs="仿宋_GB2312"/>
          <w:b/>
          <w:sz w:val="48"/>
          <w:lang w:eastAsia="zh-CN"/>
        </w:rPr>
      </w:pPr>
    </w:p>
    <w:p w14:paraId="3C07E93E">
      <w:pPr>
        <w:pStyle w:val="7"/>
        <w:jc w:val="center"/>
        <w:outlineLvl w:val="0"/>
        <w:rPr>
          <w:rFonts w:hint="eastAsia" w:ascii="仿宋_GB2312" w:hAnsi="仿宋_GB2312" w:eastAsia="仿宋_GB2312" w:cs="仿宋_GB2312"/>
          <w:b/>
          <w:sz w:val="48"/>
          <w:lang w:eastAsia="zh-CN"/>
        </w:rPr>
      </w:pPr>
    </w:p>
    <w:p w14:paraId="2D53979A">
      <w:pPr>
        <w:pStyle w:val="7"/>
        <w:jc w:val="center"/>
        <w:outlineLvl w:val="0"/>
        <w:rPr>
          <w:rFonts w:hint="eastAsia" w:eastAsiaTheme="minorEastAsia"/>
          <w:lang w:eastAsia="zh-CN"/>
        </w:rPr>
      </w:pPr>
    </w:p>
    <w:p w14:paraId="314163A7">
      <w:pPr>
        <w:pStyle w:val="7"/>
        <w:jc w:val="center"/>
        <w:outlineLvl w:val="0"/>
        <w:rPr>
          <w:rFonts w:hint="eastAsia" w:eastAsiaTheme="minorEastAsia"/>
          <w:lang w:eastAsia="zh-CN"/>
        </w:rPr>
      </w:pPr>
    </w:p>
    <w:p w14:paraId="497D703A">
      <w:pPr>
        <w:pStyle w:val="7"/>
        <w:jc w:val="center"/>
        <w:outlineLvl w:val="1"/>
        <w:rPr>
          <w:rFonts w:hint="eastAsia" w:ascii="仿宋_GB2312" w:hAnsi="仿宋_GB2312" w:eastAsia="仿宋_GB2312" w:cs="仿宋_GB2312"/>
          <w:b/>
          <w:sz w:val="36"/>
          <w:lang w:eastAsia="zh-CN"/>
        </w:rPr>
      </w:pPr>
    </w:p>
    <w:p w14:paraId="767A988E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2BFE4317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2D3A84DC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3E1B7421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37933D17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4A03DE43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33250761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0D7BFA9B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13877DD9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021870CA">
      <w:pPr>
        <w:pStyle w:val="7"/>
        <w:jc w:val="center"/>
        <w:outlineLvl w:val="1"/>
        <w:rPr>
          <w:rFonts w:hint="eastAsia" w:eastAsiaTheme="minorEastAsia"/>
          <w:lang w:eastAsia="zh-CN"/>
        </w:rPr>
      </w:pPr>
    </w:p>
    <w:p w14:paraId="61D78071">
      <w:pPr>
        <w:pStyle w:val="7"/>
        <w:jc w:val="center"/>
        <w:outlineLvl w:val="2"/>
        <w:rPr>
          <w:rFonts w:ascii="仿宋_GB2312" w:hAnsi="仿宋_GB2312" w:eastAsia="仿宋_GB2312" w:cs="仿宋_GB2312"/>
          <w:b/>
          <w:sz w:val="28"/>
        </w:rPr>
      </w:pP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委托方（甲方）：</w:t>
      </w:r>
      <w:r>
        <w:rPr>
          <w:rStyle w:val="6"/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>陕西省不动产登记服务中心</w:t>
      </w:r>
    </w:p>
    <w:p w14:paraId="7C648724">
      <w:pPr>
        <w:pStyle w:val="7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highlight w:val="none"/>
        </w:rPr>
      </w:pPr>
    </w:p>
    <w:p w14:paraId="0B38BF9D">
      <w:pPr>
        <w:keepNext w:val="0"/>
        <w:keepLines w:val="0"/>
        <w:widowControl/>
        <w:suppressLineNumbers w:val="0"/>
        <w:spacing w:line="240" w:lineRule="auto"/>
        <w:ind w:firstLine="1405" w:firstLineChars="5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受托方（乙方）：</w:t>
      </w:r>
      <w:r>
        <w:rPr>
          <w:rStyle w:val="6"/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7F34AEC5">
      <w:pPr>
        <w:pStyle w:val="7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highlight w:val="red"/>
          <w:lang w:val="en-US" w:eastAsia="zh-CN"/>
        </w:rPr>
      </w:pPr>
    </w:p>
    <w:p w14:paraId="7B37FD44">
      <w:pPr>
        <w:pStyle w:val="7"/>
        <w:jc w:val="center"/>
        <w:outlineLvl w:val="2"/>
        <w:rPr>
          <w:rFonts w:hint="eastAsia" w:eastAsiaTheme="minorEastAsia"/>
          <w:lang w:eastAsia="zh-CN"/>
        </w:rPr>
      </w:pPr>
    </w:p>
    <w:p w14:paraId="5A2C5F05">
      <w:pPr>
        <w:pStyle w:val="7"/>
        <w:jc w:val="center"/>
        <w:outlineLvl w:val="2"/>
        <w:rPr>
          <w:rFonts w:hint="eastAsia" w:eastAsiaTheme="minorEastAsia"/>
          <w:lang w:eastAsia="zh-CN"/>
        </w:rPr>
      </w:pPr>
    </w:p>
    <w:p w14:paraId="0C91480B">
      <w:pPr>
        <w:pStyle w:val="7"/>
        <w:jc w:val="center"/>
        <w:outlineLvl w:val="2"/>
        <w:rPr>
          <w:rFonts w:ascii="仿宋_GB2312" w:hAnsi="仿宋_GB2312" w:eastAsia="仿宋_GB2312" w:cs="仿宋_GB2312"/>
          <w:b/>
          <w:sz w:val="28"/>
        </w:rPr>
      </w:pP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 </w:t>
      </w:r>
      <w:r>
        <w:rPr>
          <w:rFonts w:ascii="仿宋_GB2312" w:hAnsi="仿宋_GB2312" w:eastAsia="仿宋_GB2312" w:cs="仿宋_GB2312"/>
          <w:b/>
          <w:sz w:val="28"/>
        </w:rPr>
        <w:t>年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 </w:t>
      </w:r>
      <w:r>
        <w:rPr>
          <w:rFonts w:ascii="仿宋_GB2312" w:hAnsi="仿宋_GB2312" w:eastAsia="仿宋_GB2312" w:cs="仿宋_GB2312"/>
          <w:b/>
          <w:sz w:val="28"/>
        </w:rPr>
        <w:t>月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b/>
          <w:sz w:val="28"/>
        </w:rPr>
        <w:t>日</w:t>
      </w:r>
    </w:p>
    <w:p w14:paraId="23DD11AC">
      <w:pPr>
        <w:pStyle w:val="7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</w:p>
    <w:p w14:paraId="0895DCEE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BBDB04F">
      <w:pPr>
        <w:keepNext w:val="0"/>
        <w:keepLines w:val="0"/>
        <w:widowControl/>
        <w:suppressLineNumbers w:val="0"/>
        <w:spacing w:line="240" w:lineRule="auto"/>
        <w:jc w:val="left"/>
        <w:rPr>
          <w:rFonts w:hint="default" w:ascii="仿宋" w:hAnsi="仿宋" w:eastAsia="仿宋" w:cs="仿宋"/>
          <w:sz w:val="28"/>
          <w:szCs w:val="28"/>
          <w:u w:val="single"/>
          <w:lang w:val="en-US"/>
        </w:rPr>
      </w:pP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甲方（委托方）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</w:t>
      </w:r>
    </w:p>
    <w:p w14:paraId="109FAC01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统一社会信用代码：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</w:t>
      </w:r>
    </w:p>
    <w:p w14:paraId="44755014">
      <w:pPr>
        <w:keepNext w:val="0"/>
        <w:keepLines w:val="0"/>
        <w:widowControl/>
        <w:suppressLineNumbers w:val="0"/>
        <w:spacing w:line="240" w:lineRule="auto"/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地址：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          </w:t>
      </w:r>
    </w:p>
    <w:p w14:paraId="7CEE3238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        </w:t>
      </w:r>
    </w:p>
    <w:p w14:paraId="4B85C469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联系电话：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6183E723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乙方（服务方）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</w:t>
      </w:r>
    </w:p>
    <w:p w14:paraId="1F47DD50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统一社会信用代码：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</w:t>
      </w:r>
    </w:p>
    <w:p w14:paraId="4CF07E48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地址：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          </w:t>
      </w:r>
    </w:p>
    <w:p w14:paraId="39FBDD1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        </w:t>
      </w:r>
    </w:p>
    <w:p w14:paraId="4A7A7B35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联系电话：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25322D2F">
      <w:pPr>
        <w:keepNext w:val="0"/>
        <w:keepLines w:val="0"/>
        <w:widowControl/>
        <w:suppressLineNumbers w:val="0"/>
        <w:spacing w:line="24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依据《中华人民共和国民法典》《不动产登记暂行条例》《林地林权登记管理办法》及自然资源、林业行业相关数据管理规范，甲乙双方本着平等自愿、公平诚信、权责统一的原则，就甲方委托乙方承接2026年农房宅基地化解问题新登记数据质检与整改汇交、林权登记数据更新汇交项目服务事宜，经友好协商，订立本合同，以资共同信守。</w:t>
      </w:r>
    </w:p>
    <w:p w14:paraId="156C3645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第一条 项目概况</w:t>
      </w:r>
    </w:p>
    <w:p w14:paraId="11C58A66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1.1 项目名称：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2026年农房宅基地化解问题新登记数据质检与整改汇交、林权登记数据更新汇交项目</w:t>
      </w:r>
    </w:p>
    <w:p w14:paraId="1671CD8E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1.2 项目地点：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（甲方指定服务区域）</w:t>
      </w:r>
    </w:p>
    <w:p w14:paraId="073E00A9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1.3 服务宗旨：规范农房宅基地、林权不动产登记数据标准，全面排查整改数据错误、缺失、冲突、不规范问题，完成数据标准化更新、质检核验、整改完善及官方平台汇交归档，保障不动产登记数据真实、准确、完整、合规，满足自然资源、林业主管部门数据入库及常态化管理要求。</w:t>
      </w:r>
    </w:p>
    <w:p w14:paraId="1BE352D0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1.4 服务依据：国家及省市不动产登记数据质检规范、宅基地确权登记专项整改政策、林权登记数据更新技术标准、自然资源数据汇交管理办法及甲方主管部门最新工作要求。</w:t>
      </w:r>
    </w:p>
    <w:p w14:paraId="52F086BA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第二条 服务内容与工作标准</w:t>
      </w:r>
    </w:p>
    <w:p w14:paraId="6BF06E6A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乙方全权负责本项目全部数据处理、质检整改、更新优化、汇交上报及资料归档等服务工作，具体内容及标准如下：</w:t>
      </w:r>
    </w:p>
    <w:p w14:paraId="1635A300">
      <w:pPr>
        <w:pStyle w:val="3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2.1 农房宅基地化解问题新登记数据质检与整改汇交服务</w:t>
      </w:r>
    </w:p>
    <w:p w14:paraId="29C2A48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（1）数据收集梳理：全面收集服务区域内农房宅基地新登记存量数据、问题台账、确权档案、权属资料、地形图、地籍调查成果等全套基础资料，分类整理、核对汇总，排查资料缺失、不一致等基础问题。</w:t>
      </w:r>
    </w:p>
    <w:p w14:paraId="08D68A29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全维度数据质检：严格按照不动产登记数据质检标准，对宅基地登记数据开展全覆盖质检，重点核查权属信息、宗地坐标、面积参数、权利人信息、坐落地址、登记用途、审批手续、附图信息等内容，排查数据缺失、逻辑错误、坐标偏差、权属冲突、重复登记、信息不一致、格式不规范等各类问题，形成详细数据问题清单。</w:t>
      </w:r>
    </w:p>
    <w:p w14:paraId="6B9D347A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问题整改优化：针对质检发现的各类数据问题，结合宅基地历史遗留问题化解政策，逐项制定整改方案，完成数据修正、补充完善、冲突化解、重复数据清理、信息纠错更新等工作，规范数据格式、完善字段内容、校准空间坐标，确保所有问题闭环整改。</w:t>
      </w:r>
    </w:p>
    <w:p w14:paraId="615FEDE2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（4）数据标准化处理：对整改后的宅基地数据进行标准化规整，统一数据格式、字段规范、坐标系标准、归档标准，确保数据符合省级、国家级不动产登记数据库入库标准，适配官方汇交系统要求。</w:t>
      </w:r>
    </w:p>
    <w:p w14:paraId="641D8673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5）逐级汇交上报：完成整改质检后的宅基地数据，按甲方及主管部门要求，逐级完成数据校验、批量汇交、入库报备工作，跟进汇交审核进度，及时处理汇交过程中的驳回、异议问题，确保数据全部成功汇交入库、审核通过。</w:t>
      </w:r>
    </w:p>
    <w:p w14:paraId="65F46342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（6）成果整理归档：整理项目全过程台账、质检报告、整改说明、问题清单、汇交凭证、成果数据表等资料，形成完整的项目成果档案，装订成册、电子化归档，提交甲方备案。</w:t>
      </w:r>
    </w:p>
    <w:p w14:paraId="32DD1BAB">
      <w:pPr>
        <w:pStyle w:val="3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2.2 林权登记数据更新汇交服务</w:t>
      </w:r>
    </w:p>
    <w:p w14:paraId="6DBF6D76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存量数据核查：梳理区域内林地、林木林权登记存量数据，核对林权权属、林地范围、面积、权利人、承包期限、林地用途、权属变更记录等核心信息，排查数据滞后、信息错误、权属重叠、台账缺失、更新不及时等问题。</w:t>
      </w:r>
    </w:p>
    <w:p w14:paraId="7341961F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数据动态更新：结合林权变更、确权更正、权属调整、历史遗留问题化解等实际情况，完成林权登记数据新增、修改、作废、更正等动态更新工作，补齐缺失数据字段，修正错误信息，完善林权登记电子档案与空间数据。</w:t>
      </w:r>
    </w:p>
    <w:p w14:paraId="6A847877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专项质检核验：参照林权登记数据管理规范，对更新后的林权数据开展专项质检，核查数据真实性、完整性、逻辑性、一致性，确保空间数据与属性数据匹配、权属信息合法合规、数据格式符合林业与不动产登记入库标准。</w:t>
      </w:r>
    </w:p>
    <w:p w14:paraId="108E528E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（4）数据汇交入库：按照林业及自然资源部门数据汇交要求，完成更新后林权数据的整理、校验、批量汇交、入库备案，跟进审核流程，解决汇交异常问题，保障数据成功入库、常态化更新归档。</w:t>
      </w:r>
    </w:p>
    <w:p w14:paraId="2FF08DAF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（5）成果汇总输出：编制林权数据更新报告、数据汇总台账、问题整改台账、汇交成果清单，形成标准化成果资料，同步完成纸质及电子档案归档。</w:t>
      </w:r>
    </w:p>
    <w:p w14:paraId="0D0D871F">
      <w:pPr>
        <w:pStyle w:val="3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2.3 整体服务标准</w:t>
      </w:r>
    </w:p>
    <w:p w14:paraId="1F56F5C6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（1）所有输出数据100%通过甲方及主管部门官方质检系统核验，无重大数据错误、权属冲突、逻辑漏洞；</w:t>
      </w:r>
    </w:p>
    <w:p w14:paraId="084BAA6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（2）所有数据按期完成汇交，汇交通过率100%，无驳回滞留问题；</w:t>
      </w:r>
    </w:p>
    <w:p w14:paraId="1355DF38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（3）项目成果资料完整、规范、可追溯，符合档案归档及政务数据管理要求；</w:t>
      </w:r>
    </w:p>
    <w:p w14:paraId="52ABC170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（4）全程配合甲方及上级主管部门抽查、复核、验收工作，及时响应整改优化需求。</w:t>
      </w:r>
    </w:p>
    <w:p w14:paraId="4B94A6E2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第三条 服务期限</w:t>
      </w:r>
    </w:p>
    <w:p w14:paraId="1BA3CCE3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3.1 本项目服务总工期自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日起至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日止。</w:t>
      </w:r>
    </w:p>
    <w:p w14:paraId="6203901F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3.2 阶段性工期要求：</w:t>
      </w:r>
    </w:p>
    <w:p w14:paraId="267FD963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（1）数据收集、初检及问题排查阶段：合同生效后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个工作日内完成；</w:t>
      </w:r>
    </w:p>
    <w:p w14:paraId="64E90E6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（2）数据整改、更新、标准化处理阶段：初检完成后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个工作日内完成；</w:t>
      </w:r>
    </w:p>
    <w:p w14:paraId="0CE8114B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（3）数据汇交、复核、问题闭环阶段：数据整改完成后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个工作日内完成；</w:t>
      </w:r>
    </w:p>
    <w:p w14:paraId="08E82790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（4）成果整理、验收归档阶段：汇交全部完成后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个工作日内完成。</w:t>
      </w:r>
    </w:p>
    <w:p w14:paraId="3C695E06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3.3 因甲方资料延迟提供、政策调整、主管部门工作顺延等非乙方原因导致工期延误的，服务期限相应顺延，乙方不承担违约责任。</w:t>
      </w:r>
    </w:p>
    <w:p w14:paraId="675C9334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第四条 合同价款与支付方式</w:t>
      </w:r>
    </w:p>
    <w:p w14:paraId="5078A8A4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4.1 本项目合同总价款（含税）：人民币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元（大写：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元整），该价款为包干总价，包含人工、数据处理、质检、整改、更新、汇交、资料打印、归档、税费、售后配合等全部费用，甲方无需额外支付其他任何费用。</w:t>
      </w:r>
    </w:p>
    <w:p w14:paraId="1FB53366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4.2 付款方式（双方协商选定）：</w:t>
      </w:r>
    </w:p>
    <w:p w14:paraId="3D96686A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方式一（分期支付）：</w:t>
      </w:r>
    </w:p>
    <w:p w14:paraId="61A40790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（1）预付款：合同签订生效后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个工作日内，甲方向乙方支付合同总价的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%，即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元；</w:t>
      </w:r>
    </w:p>
    <w:p w14:paraId="437AD67A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（2）进度款：项目完成全部数据整改、汇交初审通过后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个工作日内，支付合同总价的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%，即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元；</w:t>
      </w:r>
    </w:p>
    <w:p w14:paraId="1F1688D4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（3）尾款：项目整体验收合格、成果全部归档后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个工作日内，付清剩余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%尾款，即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元。</w:t>
      </w:r>
    </w:p>
    <w:p w14:paraId="46A7D95F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方式二（一次性支付）：项目整体验收合格、资料全部移交完毕后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个工作日内，甲方一次性支付全部合同价款。</w:t>
      </w:r>
    </w:p>
    <w:p w14:paraId="0E27C9C2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4.3 乙方需在甲方付款前提供合法有效的等额增值税发票，否则甲方有权顺延付款，不承担逾期付款责任。</w:t>
      </w:r>
    </w:p>
    <w:p w14:paraId="2C46D71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4.4 所有款项通过银行对公账户转账方式支付。</w:t>
      </w:r>
    </w:p>
    <w:p w14:paraId="61409147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第五条 双方权利与义务</w:t>
      </w:r>
    </w:p>
    <w:p w14:paraId="4C3855A1">
      <w:pPr>
        <w:pStyle w:val="3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5.1 甲方权利与义务</w:t>
      </w:r>
    </w:p>
    <w:p w14:paraId="3B9F02BE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（1）有权对乙方服务全过程进行监督、检查、督导，对不符合标准的工作成果要求乙方无偿整改、返工；</w:t>
      </w:r>
    </w:p>
    <w:p w14:paraId="234ACF70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（2）负责及时向乙方提供项目所需的基础档案、权属资料、台账数据、政策文件等相关资料，保障资料真实有效；</w:t>
      </w:r>
    </w:p>
    <w:p w14:paraId="4D881984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（3）负责协调辖区内相关部门、村组配合乙方开展数据核查、问题核实等工作，解决项目推进中的属地协调问题；</w:t>
      </w:r>
    </w:p>
    <w:p w14:paraId="37D51B4F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（4）按照本合同约定及时足额支付项目服务价款；</w:t>
      </w:r>
    </w:p>
    <w:p w14:paraId="0839E83A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（5）及时对接上级主管部门，同步最新工作标准、汇交要求及整改通知，及时组织项目验收。</w:t>
      </w:r>
    </w:p>
    <w:p w14:paraId="78F1CB3D">
      <w:pPr>
        <w:pStyle w:val="3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5.2 乙方权利与义务</w:t>
      </w:r>
    </w:p>
    <w:p w14:paraId="61A3F202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（1）严格按照国家、行业标准及本合同约定，保质保量按期完成全部服务工作，提交合格项目成果；</w:t>
      </w:r>
    </w:p>
    <w:p w14:paraId="1BB8475A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（2）建立专项工作小组，配备专业技术人员，全程负责数据质检、整改、更新、汇交及答疑配合工作；</w:t>
      </w:r>
    </w:p>
    <w:p w14:paraId="143CC63A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（3）严格遵守保密制度，对项目涉及的宅基地、林权权属信息、村民信息、政务涉密数据严格保密，不得泄露、篡改、外传、用于本项目以外的其他用途，项目结束后不得留存涉密数据资料；</w:t>
      </w:r>
    </w:p>
    <w:p w14:paraId="43AD9159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（4）全程配合甲方及上级主管部门的核查、抽检、验收、督导工作，对提出的问题无偿及时整改闭环；</w:t>
      </w:r>
    </w:p>
    <w:p w14:paraId="06DD9CE8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（5）确保提交的所有数据成果真实、准确、合规，因乙方工作失误导致数据错误、汇交失败、验收不合格、行政追责等问题，由乙方承担全部责任及全部损失；</w:t>
      </w:r>
    </w:p>
    <w:p w14:paraId="44E8C812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（6）项目服务期及质保期内，无偿提供数据维护、问题修正、售后答疑、补汇补交等配套服务。</w:t>
      </w:r>
    </w:p>
    <w:p w14:paraId="1797F24C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第六条 验收标准与验收方式</w:t>
      </w:r>
    </w:p>
    <w:p w14:paraId="5EFF23B4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6.1 验收依据：本合同约定服务标准、国家及省市不动产登记、林权登记数据管理规范、主管部门质检入库标准、项目技术方案。</w:t>
      </w:r>
    </w:p>
    <w:p w14:paraId="21EA6F75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6.2 验收内容：农房宅基地数据质检整改成果、汇交入库成果、林权数据更新成果、汇交归档成果、全套项目台账及档案资料。</w:t>
      </w:r>
    </w:p>
    <w:p w14:paraId="17037235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6.3 验收标准：数据质检合格、问题整改闭环、全部数据成功汇交入库、通过主管部门审核、成果资料完整规范、符合归档要求，无遗留问题。</w:t>
      </w:r>
    </w:p>
    <w:p w14:paraId="37918490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6.4 验收流程：乙方完成全部服务工作后，向甲方提交完整成果资料及验收申请，甲方在收到申请后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个工作日内组织验收，验收合格的，双方签署《项目验收合格确认书》；验收不合格的，乙方需在甲方指定期限内无偿整改、返工，直至验收合格，由此造成的工期延误及损失由乙方承担。</w:t>
      </w:r>
    </w:p>
    <w:p w14:paraId="62523CBE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第七条 质保与售后服务</w:t>
      </w:r>
    </w:p>
    <w:p w14:paraId="5C501F1B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7.1 本项目质保期为</w:t>
      </w: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验收合格之日起12个月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。</w:t>
      </w:r>
    </w:p>
    <w:p w14:paraId="7F8BF62B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7.2 质保期内，因乙方数据处理、整改疏漏导致的各类数据问题、汇交异常、审核驳回、数据错误等问题，乙方需在接到甲方通知后24小时内响应，3个工作日内完成无偿整改修复，确保数据稳定合规。</w:t>
      </w:r>
    </w:p>
    <w:p w14:paraId="2D1E4CB7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7.3 质保期内，乙方无偿配合甲方完成数据复核、抽查、补录、答疑及各类专项整改工作，提供技术支撑服务。</w:t>
      </w:r>
    </w:p>
    <w:p w14:paraId="4EB3F08E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第八条 保密条款</w:t>
      </w:r>
    </w:p>
    <w:p w14:paraId="5FB0595C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8.1 甲乙双方应对本项目实施过程中获取的对方商业信息、政务数据、权属信息、村民隐私信息、项目资料等涉密内容严格保密。</w:t>
      </w:r>
    </w:p>
    <w:p w14:paraId="059BD5B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8.2 未经对方书面同意，任何一方不得向第三方泄露、传播、使用涉密信息，保密义务不因本合同终止、解除而失效。</w:t>
      </w:r>
    </w:p>
    <w:p w14:paraId="1EB9A6D5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8.3 若乙方违反保密约定，需向甲方支付合同总价20%的违约金，同时赔偿甲方因此遭受的全部经济损失及行政追责损失。</w:t>
      </w:r>
    </w:p>
    <w:p w14:paraId="28A551AF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第九条 违约责任</w:t>
      </w:r>
    </w:p>
    <w:p w14:paraId="7CC0581C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9.1 甲方逾期付款的，每逾期一日，按逾期应付金额的万分之五向乙方支付违约金，违约金总额不超过合同总价的10%。</w:t>
      </w:r>
    </w:p>
    <w:p w14:paraId="4F07ECFC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9.2 乙方未按合同约定期限完成服务工作的，每逾期一日，按合同总价的万分之五向甲方支付违约金，逾期超过15日的，甲方有权单方解除合同，乙方需退还已收全部款项，并赔偿甲方损失。</w:t>
      </w:r>
    </w:p>
    <w:p w14:paraId="46480D4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9.3 乙方提交的成果两次整改后仍验收不合格的，甲方有权解除合同，乙方退还全部已付款项，并按合同总价的20%向甲方支付违约金，承担甲方全部损失。</w:t>
      </w:r>
    </w:p>
    <w:p w14:paraId="25C6AA72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9.4 任何一方擅自单方解除合同、违反合同核心约定的，需向守约方支付合同总价20%的违约金，并赔偿守约方全部经济损失。</w:t>
      </w:r>
    </w:p>
    <w:p w14:paraId="41DDC52F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第十条 不可抗力</w:t>
      </w:r>
    </w:p>
    <w:p w14:paraId="6A372333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因地震、洪水、台风、疫情、政策重大调整等不可抗力因素导致本合同无法履行或延迟履行的，遭遇不可抗力一方需及时通知对方，并在7个工作日内提供有效证明文件，双方可根据不可抗力影响程度，协商顺延工期、减免责任或解除合同，互不承担违约责任。</w:t>
      </w:r>
    </w:p>
    <w:p w14:paraId="4B5E053A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第十一条 争议解决</w:t>
      </w:r>
    </w:p>
    <w:p w14:paraId="01003EB2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本合同履行过程中发生的争议，双方优先友好协商解决；协商不成的，任何一方均有权向</w:t>
      </w: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项目所在地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人民法院提起诉讼。</w:t>
      </w:r>
    </w:p>
    <w:p w14:paraId="2164CA9F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第十二条 其他约定</w:t>
      </w:r>
    </w:p>
    <w:p w14:paraId="15B06FE4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12.1 本合同未尽事宜，双方可另行签订补充协议，补充协议与本合同具有同等法律效力。</w:t>
      </w:r>
    </w:p>
    <w:p w14:paraId="50A10E08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12.2 本合同所有附件、技术方案、成果清单均为本合同不可分割的组成部分。</w:t>
      </w:r>
    </w:p>
    <w:p w14:paraId="538AC00F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12.3 本合同一式肆份，甲方执贰份，乙方执贰份，自双方签字盖章之日起生效，具有同等法律效力。</w:t>
      </w:r>
    </w:p>
    <w:p w14:paraId="2690A08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12.4 合同有效期：自合同生效之日起至双方全部义务履行完毕、质保期届满之日终止。</w:t>
      </w:r>
    </w:p>
    <w:p w14:paraId="683CAE5B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（以下无正文）</w:t>
      </w:r>
    </w:p>
    <w:p w14:paraId="2294BDBA">
      <w:pPr>
        <w:keepNext w:val="0"/>
        <w:keepLines w:val="0"/>
        <w:widowControl/>
        <w:suppressLineNumbers w:val="0"/>
        <w:spacing w:line="240" w:lineRule="auto"/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甲方（盖章）：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</w:t>
      </w:r>
    </w:p>
    <w:p w14:paraId="4161E609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</w:t>
      </w:r>
    </w:p>
    <w:p w14:paraId="0B499C9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签订日期：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日</w:t>
      </w:r>
    </w:p>
    <w:p w14:paraId="73D1E7B1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乙方（盖章）：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</w:t>
      </w:r>
    </w:p>
    <w:p w14:paraId="35972F4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              </w:t>
      </w:r>
    </w:p>
    <w:p w14:paraId="2E212A3E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签订日期：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日</w:t>
      </w:r>
    </w:p>
    <w:p w14:paraId="746A0973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NDE3OTczZjE2ZDEzNjMwNGYxODQ0OGZkZGM2MTAifQ=="/>
  </w:docVars>
  <w:rsids>
    <w:rsidRoot w:val="00000000"/>
    <w:rsid w:val="0BE67BA2"/>
    <w:rsid w:val="0EEB2F8F"/>
    <w:rsid w:val="14B6767D"/>
    <w:rsid w:val="210F30C2"/>
    <w:rsid w:val="237F295E"/>
    <w:rsid w:val="23D74548"/>
    <w:rsid w:val="2CCA75BD"/>
    <w:rsid w:val="2CCB6C14"/>
    <w:rsid w:val="2CDA5E53"/>
    <w:rsid w:val="2E982B26"/>
    <w:rsid w:val="3B567262"/>
    <w:rsid w:val="3CDD113C"/>
    <w:rsid w:val="3D715D82"/>
    <w:rsid w:val="491C4628"/>
    <w:rsid w:val="4EA2112B"/>
    <w:rsid w:val="5BCC3C8B"/>
    <w:rsid w:val="64B82FFF"/>
    <w:rsid w:val="6C062D25"/>
    <w:rsid w:val="6D3B21C6"/>
    <w:rsid w:val="70710506"/>
    <w:rsid w:val="7CCA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4365</Words>
  <Characters>4965</Characters>
  <Lines>0</Lines>
  <Paragraphs>0</Paragraphs>
  <TotalTime>1</TotalTime>
  <ScaleCrop>false</ScaleCrop>
  <LinksUpToDate>false</LinksUpToDate>
  <CharactersWithSpaces>5033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2026-07-03T03:04:00Z</dcterms:created>
  <dc:creator>Administrator</dc:creator>
  <cp:lastModifiedBy>Renyan</cp:lastModifiedBy>
  <dcterms:modified xsi:type="dcterms:W3CDTF">2026-07-03T03:30:11Z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17D0642734BA4A31844984BEC57F0096_12</vt:lpwstr>
  </property>
</Properties>
</file>