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B0BB8F">
      <w:pPr>
        <w:pStyle w:val="3"/>
        <w:keepLines w:val="0"/>
        <w:pageBreakBefore w:val="0"/>
        <w:widowControl/>
        <w:numPr>
          <w:ilvl w:val="0"/>
          <w:numId w:val="1"/>
        </w:numPr>
        <w:kinsoku/>
        <w:overflowPunct/>
        <w:topLinePunct w:val="0"/>
        <w:autoSpaceDE/>
        <w:autoSpaceDN/>
        <w:bidi w:val="0"/>
        <w:adjustRightInd/>
        <w:snapToGrid/>
        <w:spacing w:before="0" w:beforeLines="0" w:after="0" w:afterLines="0" w:line="360" w:lineRule="auto"/>
        <w:textAlignment w:val="auto"/>
        <w:rPr>
          <w:rFonts w:hint="eastAsia" w:ascii="宋体" w:hAnsi="宋体" w:eastAsia="宋体" w:cs="宋体"/>
        </w:rPr>
      </w:pPr>
      <w:bookmarkStart w:id="0" w:name="_Toc100219615"/>
      <w:r>
        <w:rPr>
          <w:rFonts w:hint="eastAsia" w:ascii="宋体" w:hAnsi="宋体" w:eastAsia="宋体" w:cs="宋体"/>
        </w:rPr>
        <w:t>合同文本</w:t>
      </w:r>
      <w:bookmarkEnd w:id="0"/>
    </w:p>
    <w:p w14:paraId="2E181645">
      <w:pPr>
        <w:keepLines w:val="0"/>
        <w:pageBreakBefore w:val="0"/>
        <w:widowControl/>
        <w:kinsoku/>
        <w:overflowPunct/>
        <w:topLinePunct w:val="0"/>
        <w:autoSpaceDE/>
        <w:autoSpaceDN/>
        <w:bidi w:val="0"/>
        <w:adjustRightInd/>
        <w:snapToGrid/>
        <w:spacing w:line="360" w:lineRule="auto"/>
        <w:jc w:val="center"/>
        <w:textAlignment w:val="auto"/>
        <w:rPr>
          <w:rFonts w:hint="eastAsia" w:ascii="宋体" w:hAnsi="宋体" w:eastAsia="宋体" w:cs="宋体"/>
          <w:color w:val="C00000"/>
        </w:rPr>
      </w:pPr>
      <w:r>
        <w:rPr>
          <w:rFonts w:hint="eastAsia" w:ascii="宋体" w:hAnsi="宋体" w:eastAsia="宋体" w:cs="宋体"/>
          <w:color w:val="C00000"/>
        </w:rPr>
        <w:t>（第</w:t>
      </w:r>
      <w:r>
        <w:rPr>
          <w:rFonts w:hint="eastAsia" w:ascii="宋体" w:hAnsi="宋体" w:eastAsia="宋体" w:cs="宋体"/>
          <w:color w:val="C00000"/>
          <w:lang w:val="en-US" w:eastAsia="zh-CN"/>
        </w:rPr>
        <w:t>一</w:t>
      </w:r>
      <w:r>
        <w:rPr>
          <w:rFonts w:hint="eastAsia" w:ascii="宋体" w:hAnsi="宋体" w:eastAsia="宋体" w:cs="宋体"/>
          <w:color w:val="C00000"/>
        </w:rPr>
        <w:t>、三标段合同为中小企业预留合同）</w:t>
      </w:r>
    </w:p>
    <w:p w14:paraId="091FF18A">
      <w:pPr>
        <w:pStyle w:val="6"/>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6D1B2D2E">
      <w:pPr>
        <w:pStyle w:val="6"/>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甲方（采购人）：</w:t>
      </w:r>
      <w:r>
        <w:rPr>
          <w:rFonts w:hint="eastAsia" w:ascii="宋体" w:hAnsi="宋体" w:eastAsia="宋体" w:cs="宋体"/>
          <w:sz w:val="24"/>
          <w:szCs w:val="24"/>
          <w:u w:val="single"/>
        </w:rPr>
        <w:t>西安市发展和改革委员会</w:t>
      </w:r>
    </w:p>
    <w:p w14:paraId="46A12EED">
      <w:pPr>
        <w:pStyle w:val="6"/>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乙方（中标供应商）：</w:t>
      </w:r>
      <w:r>
        <w:rPr>
          <w:rFonts w:hint="eastAsia" w:ascii="宋体" w:hAnsi="宋体" w:eastAsia="宋体" w:cs="宋体"/>
          <w:sz w:val="24"/>
          <w:szCs w:val="24"/>
          <w:u w:val="single"/>
          <w:lang w:val="en-US" w:eastAsia="zh-CN"/>
        </w:rPr>
        <w:t xml:space="preserve">                  </w:t>
      </w:r>
    </w:p>
    <w:p w14:paraId="71BA1156">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根据《中华人民共和国政府采购法》及实施条例、《中华人民共和国民法典》和</w:t>
      </w:r>
      <w:r>
        <w:rPr>
          <w:rFonts w:hint="eastAsia" w:ascii="宋体" w:hAnsi="宋体" w:eastAsia="宋体" w:cs="宋体"/>
          <w:color w:val="C00000"/>
          <w:sz w:val="24"/>
          <w:szCs w:val="24"/>
        </w:rPr>
        <w:t>西安市发展和改革委员会</w:t>
      </w:r>
      <w:r>
        <w:rPr>
          <w:rFonts w:hint="eastAsia" w:ascii="宋体" w:hAnsi="宋体" w:eastAsia="宋体" w:cs="宋体"/>
          <w:color w:val="auto"/>
          <w:sz w:val="24"/>
          <w:szCs w:val="24"/>
          <w:lang w:val="en-US" w:eastAsia="zh-CN"/>
        </w:rPr>
        <w:t>签订关于</w:t>
      </w:r>
      <w:r>
        <w:rPr>
          <w:rFonts w:hint="eastAsia" w:ascii="宋体" w:hAnsi="宋体" w:eastAsia="宋体" w:cs="宋体"/>
          <w:color w:val="C00000"/>
          <w:sz w:val="24"/>
          <w:szCs w:val="24"/>
        </w:rPr>
        <w:t>委托具有资质的工程咨询机构开展政府投资项目咨询评估工作（项目编号：</w:t>
      </w:r>
      <w:r>
        <w:rPr>
          <w:rFonts w:hint="eastAsia" w:ascii="宋体" w:hAnsi="宋体" w:eastAsia="宋体" w:cs="宋体"/>
          <w:color w:val="C00000"/>
          <w:sz w:val="24"/>
          <w:szCs w:val="24"/>
          <w:lang w:eastAsia="zh-CN"/>
        </w:rPr>
        <w:t>YZZB-20260106</w:t>
      </w:r>
      <w:r>
        <w:rPr>
          <w:rFonts w:hint="eastAsia" w:ascii="宋体" w:hAnsi="宋体" w:eastAsia="宋体" w:cs="宋体"/>
          <w:color w:val="C00000"/>
          <w:sz w:val="24"/>
          <w:szCs w:val="24"/>
        </w:rPr>
        <w:t>）</w:t>
      </w:r>
      <w:r>
        <w:rPr>
          <w:rFonts w:hint="eastAsia" w:ascii="宋体" w:hAnsi="宋体" w:eastAsia="宋体" w:cs="宋体"/>
          <w:sz w:val="24"/>
          <w:szCs w:val="24"/>
        </w:rPr>
        <w:t>项目</w:t>
      </w:r>
      <w:r>
        <w:rPr>
          <w:rFonts w:hint="eastAsia" w:ascii="宋体" w:hAnsi="宋体" w:eastAsia="宋体" w:cs="宋体"/>
          <w:color w:val="C00000"/>
          <w:sz w:val="24"/>
          <w:szCs w:val="24"/>
        </w:rPr>
        <w:t>第</w:t>
      </w:r>
      <w:r>
        <w:rPr>
          <w:rFonts w:hint="eastAsia" w:ascii="宋体" w:hAnsi="宋体" w:eastAsia="宋体" w:cs="宋体"/>
          <w:color w:val="C00000"/>
          <w:sz w:val="24"/>
          <w:szCs w:val="24"/>
          <w:u w:val="single"/>
          <w:lang w:val="en-US" w:eastAsia="zh-CN"/>
        </w:rPr>
        <w:t xml:space="preserve">      </w:t>
      </w:r>
      <w:r>
        <w:rPr>
          <w:rFonts w:hint="eastAsia" w:ascii="宋体" w:hAnsi="宋体" w:eastAsia="宋体" w:cs="宋体"/>
          <w:color w:val="C00000"/>
          <w:sz w:val="24"/>
          <w:szCs w:val="24"/>
        </w:rPr>
        <w:t>标段</w:t>
      </w:r>
      <w:r>
        <w:rPr>
          <w:rFonts w:hint="eastAsia" w:ascii="宋体" w:hAnsi="宋体" w:eastAsia="宋体" w:cs="宋体"/>
          <w:sz w:val="24"/>
          <w:szCs w:val="24"/>
        </w:rPr>
        <w:t>的招标文件、投标文件等有关规定，为确保甲方采购项目的顺利实施，甲、乙双方在平等自愿原则下签订本合同，并共同遵守如下条款：</w:t>
      </w:r>
    </w:p>
    <w:p w14:paraId="0A380283">
      <w:pPr>
        <w:keepLines w:val="0"/>
        <w:pageBreakBefore w:val="0"/>
        <w:widowControl/>
        <w:kinsoku/>
        <w:overflowPunct/>
        <w:topLinePunct w:val="0"/>
        <w:autoSpaceDE/>
        <w:autoSpaceDN/>
        <w:bidi w:val="0"/>
        <w:adjustRightInd/>
        <w:snapToGrid/>
        <w:spacing w:line="360" w:lineRule="auto"/>
        <w:jc w:val="both"/>
        <w:textAlignment w:val="auto"/>
        <w:rPr>
          <w:rFonts w:hint="eastAsia" w:ascii="宋体" w:hAnsi="宋体" w:eastAsia="宋体" w:cs="宋体"/>
          <w:b/>
        </w:rPr>
      </w:pPr>
      <w:r>
        <w:rPr>
          <w:rFonts w:hint="eastAsia" w:ascii="宋体" w:hAnsi="宋体" w:eastAsia="宋体" w:cs="宋体"/>
          <w:b/>
        </w:rPr>
        <w:t>第一条　项目基本情况</w:t>
      </w:r>
    </w:p>
    <w:p w14:paraId="21C50F38">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u w:val="none"/>
          <w:lang w:eastAsia="zh-CN"/>
        </w:rPr>
      </w:pPr>
      <w:r>
        <w:rPr>
          <w:rFonts w:hint="eastAsia" w:ascii="宋体" w:hAnsi="宋体" w:eastAsia="宋体" w:cs="宋体"/>
          <w:sz w:val="24"/>
          <w:szCs w:val="24"/>
        </w:rPr>
        <w:t>1．采购标的：</w:t>
      </w:r>
      <w:r>
        <w:rPr>
          <w:rFonts w:hint="eastAsia" w:ascii="宋体" w:hAnsi="宋体" w:eastAsia="宋体" w:cs="宋体"/>
          <w:sz w:val="24"/>
          <w:szCs w:val="24"/>
          <w:u w:val="single"/>
          <w:lang w:eastAsia="zh-CN"/>
        </w:rPr>
        <w:t>委托具有资质的工程咨询机构开展政府投资项目咨询评估工作</w:t>
      </w:r>
      <w:r>
        <w:rPr>
          <w:rFonts w:hint="eastAsia" w:ascii="宋体" w:hAnsi="宋体" w:eastAsia="宋体" w:cs="宋体"/>
          <w:sz w:val="24"/>
          <w:szCs w:val="24"/>
          <w:u w:val="none"/>
          <w:lang w:eastAsia="zh-CN"/>
        </w:rPr>
        <w:t>。</w:t>
      </w:r>
    </w:p>
    <w:p w14:paraId="1FE59097">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2．服务期限：</w:t>
      </w:r>
      <w:r>
        <w:rPr>
          <w:rFonts w:hint="eastAsia" w:ascii="宋体" w:hAnsi="宋体" w:eastAsia="宋体" w:cs="宋体"/>
          <w:sz w:val="24"/>
          <w:szCs w:val="24"/>
          <w:u w:val="single"/>
        </w:rPr>
        <w:t>服务期限1年，自合同签订之日起算</w:t>
      </w:r>
      <w:r>
        <w:rPr>
          <w:rFonts w:hint="eastAsia" w:ascii="宋体" w:hAnsi="宋体" w:eastAsia="宋体" w:cs="宋体"/>
          <w:sz w:val="24"/>
          <w:szCs w:val="24"/>
        </w:rPr>
        <w:t>。</w:t>
      </w:r>
    </w:p>
    <w:p w14:paraId="44E8C201">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服务期内未完成各标段要求项目“最低完成数量”，则服务期顺延，直至完成“最低完成数量”；服务期内，完成项目“最高完成数量”，合同终止。</w:t>
      </w:r>
    </w:p>
    <w:p w14:paraId="30676F57">
      <w:pPr>
        <w:keepLines w:val="0"/>
        <w:pageBreakBefore w:val="0"/>
        <w:widowControl/>
        <w:kinsoku/>
        <w:overflowPunct/>
        <w:topLinePunct w:val="0"/>
        <w:autoSpaceDE/>
        <w:autoSpaceDN/>
        <w:bidi w:val="0"/>
        <w:adjustRightInd/>
        <w:snapToGrid/>
        <w:spacing w:line="360" w:lineRule="auto"/>
        <w:jc w:val="both"/>
        <w:textAlignment w:val="auto"/>
        <w:rPr>
          <w:rFonts w:hint="eastAsia" w:ascii="宋体" w:hAnsi="宋体" w:eastAsia="宋体" w:cs="宋体"/>
          <w:b/>
        </w:rPr>
      </w:pPr>
      <w:r>
        <w:rPr>
          <w:rFonts w:hint="eastAsia" w:ascii="宋体" w:hAnsi="宋体" w:eastAsia="宋体" w:cs="宋体"/>
          <w:b/>
        </w:rPr>
        <w:t>第二条　合同价款及支付方式</w:t>
      </w:r>
    </w:p>
    <w:p w14:paraId="0B272151">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1．合同总价：（大写）_________（小写）¥________元。</w:t>
      </w:r>
    </w:p>
    <w:p w14:paraId="7735E98E">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合同总价包括完成本项目采购要求的全部服务内容，即完成全部服务内容所涉及的人员、服务、管理、差旅、税金及合同利润等。合同总价系固定不变价格，不受市场价格变化因素的影响，乙方应充分估价，甲方不接受任何因遗漏报价而发生的费用追加。</w:t>
      </w:r>
    </w:p>
    <w:p w14:paraId="6A4DD136">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2．支付进度：</w:t>
      </w:r>
    </w:p>
    <w:p w14:paraId="439F73B2">
      <w:pPr>
        <w:pStyle w:val="2"/>
        <w:keepLines w:val="0"/>
        <w:pageBreakBefore w:val="0"/>
        <w:kinsoku/>
        <w:overflowPunct/>
        <w:topLinePunct w:val="0"/>
        <w:bidi w:val="0"/>
        <w:snapToGrid/>
        <w:spacing w:line="360" w:lineRule="auto"/>
        <w:ind w:firstLine="480" w:firstLineChars="200"/>
        <w:jc w:val="both"/>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（1）合同签订之日起10日内市发改委向评估机构第一次付款，支付合同价款50%。</w:t>
      </w:r>
    </w:p>
    <w:p w14:paraId="7BF74ABF">
      <w:pPr>
        <w:pStyle w:val="2"/>
        <w:keepLines w:val="0"/>
        <w:pageBreakBefore w:val="0"/>
        <w:kinsoku/>
        <w:overflowPunct/>
        <w:topLinePunct w:val="0"/>
        <w:bidi w:val="0"/>
        <w:snapToGrid/>
        <w:spacing w:line="360" w:lineRule="auto"/>
        <w:ind w:firstLine="480" w:firstLineChars="200"/>
        <w:jc w:val="both"/>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（2）评估机构完成项目25个时，市发改委向评估机构第二次付款，支付合同价款40%。若完成项目质量较差，项目单位及评审专家评价情况超过三次，立即终止合同，不再支付合同剩余价款。</w:t>
      </w:r>
      <w:bookmarkStart w:id="1" w:name="_GoBack"/>
      <w:bookmarkEnd w:id="1"/>
    </w:p>
    <w:p w14:paraId="6C7267F5">
      <w:pPr>
        <w:pStyle w:val="2"/>
        <w:keepLines w:val="0"/>
        <w:pageBreakBefore w:val="0"/>
        <w:kinsoku/>
        <w:overflowPunct/>
        <w:topLinePunct w:val="0"/>
        <w:bidi w:val="0"/>
        <w:snapToGrid/>
        <w:spacing w:line="360" w:lineRule="auto"/>
        <w:ind w:firstLine="480" w:firstLineChars="200"/>
        <w:jc w:val="both"/>
        <w:textAlignment w:val="auto"/>
        <w:rPr>
          <w:rFonts w:hint="eastAsia" w:ascii="宋体" w:hAnsi="宋体" w:eastAsia="宋体" w:cs="宋体"/>
          <w:sz w:val="28"/>
          <w:szCs w:val="28"/>
          <w:highlight w:val="none"/>
        </w:rPr>
      </w:pPr>
      <w:r>
        <w:rPr>
          <w:rFonts w:hint="eastAsia" w:ascii="宋体" w:hAnsi="宋体" w:eastAsia="宋体" w:cs="宋体"/>
          <w:kern w:val="0"/>
          <w:sz w:val="24"/>
          <w:szCs w:val="24"/>
          <w:lang w:val="en-US" w:eastAsia="zh-CN" w:bidi="ar-SA"/>
        </w:rPr>
        <w:t>（3）评估机构完成项目55（54）个时，并经市发改委审核通过后，市发改委向评估机构支付剩余的合同价款（合同价款10%）。</w:t>
      </w:r>
    </w:p>
    <w:p w14:paraId="2E8E9E1A">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3．支付方式：银行转账。</w:t>
      </w:r>
    </w:p>
    <w:p w14:paraId="30540DAF">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rPr>
      </w:pPr>
      <w:r>
        <w:rPr>
          <w:rFonts w:hint="eastAsia" w:ascii="宋体" w:hAnsi="宋体" w:eastAsia="宋体" w:cs="宋体"/>
        </w:rPr>
        <w:t xml:space="preserve">开户名称：__________________ </w:t>
      </w:r>
    </w:p>
    <w:p w14:paraId="239DBBEE">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rPr>
      </w:pPr>
      <w:r>
        <w:rPr>
          <w:rFonts w:hint="eastAsia" w:ascii="宋体" w:hAnsi="宋体" w:eastAsia="宋体" w:cs="宋体"/>
        </w:rPr>
        <w:t>开 户 行：__________________</w:t>
      </w:r>
    </w:p>
    <w:p w14:paraId="753F6CA1">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rPr>
      </w:pPr>
      <w:r>
        <w:rPr>
          <w:rFonts w:hint="eastAsia" w:ascii="宋体" w:hAnsi="宋体" w:eastAsia="宋体" w:cs="宋体"/>
        </w:rPr>
        <w:t>账    号：__________________</w:t>
      </w:r>
    </w:p>
    <w:p w14:paraId="1D374E28">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4．结算方式：乙方持中标通知书、服务合同、正式发票、政府采购项目验收单，与甲方进行结算。</w:t>
      </w:r>
    </w:p>
    <w:p w14:paraId="6DBE1D22">
      <w:pPr>
        <w:keepLines w:val="0"/>
        <w:pageBreakBefore w:val="0"/>
        <w:widowControl/>
        <w:kinsoku/>
        <w:overflowPunct/>
        <w:topLinePunct w:val="0"/>
        <w:autoSpaceDE/>
        <w:autoSpaceDN/>
        <w:bidi w:val="0"/>
        <w:adjustRightInd/>
        <w:snapToGrid/>
        <w:spacing w:line="360" w:lineRule="auto"/>
        <w:jc w:val="both"/>
        <w:textAlignment w:val="auto"/>
        <w:rPr>
          <w:rFonts w:hint="eastAsia" w:ascii="宋体" w:hAnsi="宋体" w:eastAsia="宋体" w:cs="宋体"/>
          <w:b/>
        </w:rPr>
      </w:pPr>
      <w:r>
        <w:rPr>
          <w:rFonts w:hint="eastAsia" w:ascii="宋体" w:hAnsi="宋体" w:eastAsia="宋体" w:cs="宋体"/>
          <w:b/>
        </w:rPr>
        <w:t>第三条　服务保证</w:t>
      </w:r>
    </w:p>
    <w:p w14:paraId="3170A1EE">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1．乙方应提供详细的服务标准和服务承诺，服务标准应当符合国家、行业和地方相关咨询评估服务标准。</w:t>
      </w:r>
    </w:p>
    <w:p w14:paraId="4900F59C">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2．乙方应当保持相关人员稳定，不得擅自更换服务人员。确需更换时，必须提前7天书面征得甲方同意。</w:t>
      </w:r>
    </w:p>
    <w:p w14:paraId="44DB4CD2">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rPr>
      </w:pPr>
      <w:r>
        <w:rPr>
          <w:rFonts w:hint="eastAsia" w:ascii="宋体" w:hAnsi="宋体" w:eastAsia="宋体" w:cs="宋体"/>
          <w:sz w:val="24"/>
          <w:szCs w:val="24"/>
        </w:rPr>
        <w:t>3、乙方应建立完善的员工奖惩制度，确保各项服务高标准完成。</w:t>
      </w:r>
    </w:p>
    <w:p w14:paraId="2C1EE464">
      <w:pPr>
        <w:keepLines w:val="0"/>
        <w:pageBreakBefore w:val="0"/>
        <w:widowControl/>
        <w:kinsoku/>
        <w:overflowPunct/>
        <w:topLinePunct w:val="0"/>
        <w:autoSpaceDE/>
        <w:autoSpaceDN/>
        <w:bidi w:val="0"/>
        <w:adjustRightInd/>
        <w:snapToGrid/>
        <w:spacing w:line="360" w:lineRule="auto"/>
        <w:jc w:val="both"/>
        <w:textAlignment w:val="auto"/>
        <w:rPr>
          <w:rFonts w:hint="eastAsia" w:ascii="宋体" w:hAnsi="宋体" w:eastAsia="宋体" w:cs="宋体"/>
          <w:b/>
        </w:rPr>
      </w:pPr>
      <w:r>
        <w:rPr>
          <w:rFonts w:hint="eastAsia" w:ascii="宋体" w:hAnsi="宋体" w:eastAsia="宋体" w:cs="宋体"/>
          <w:b/>
        </w:rPr>
        <w:t>第四条　验收标准及条件</w:t>
      </w:r>
    </w:p>
    <w:p w14:paraId="382C8A79">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验收：服务期满后，乙方向甲方提交验收申请，甲方组织乙方对本项目服务质量整体验收，确认服务标准和服务方式是否达到采购要求（必要时甲方可委托技术专家对项目进行验收）。验收合格后，填写政府采购项目验收单（一式伍份）作为对服务的最终认可。</w:t>
      </w:r>
    </w:p>
    <w:p w14:paraId="1FC91C00">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2．验收依据：</w:t>
      </w:r>
    </w:p>
    <w:p w14:paraId="0143EFE4">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（1）招标文件、投标文件、澄清表（函）；</w:t>
      </w:r>
    </w:p>
    <w:p w14:paraId="2656A0AC">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（2）本合同及附件文本；</w:t>
      </w:r>
    </w:p>
    <w:p w14:paraId="645EABB8">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（3）合同签订时国家及行业现行的标准和技术规范。</w:t>
      </w:r>
    </w:p>
    <w:p w14:paraId="1EEE90E5">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3．乙方应向甲方提交项目实施过程中的所有资料，以便甲方日后管理和维护。</w:t>
      </w:r>
    </w:p>
    <w:p w14:paraId="4139514C">
      <w:pPr>
        <w:keepLines w:val="0"/>
        <w:pageBreakBefore w:val="0"/>
        <w:widowControl/>
        <w:kinsoku/>
        <w:overflowPunct/>
        <w:topLinePunct w:val="0"/>
        <w:autoSpaceDE/>
        <w:autoSpaceDN/>
        <w:bidi w:val="0"/>
        <w:adjustRightInd/>
        <w:snapToGrid/>
        <w:spacing w:line="360" w:lineRule="auto"/>
        <w:jc w:val="both"/>
        <w:textAlignment w:val="auto"/>
        <w:rPr>
          <w:rFonts w:hint="eastAsia" w:ascii="宋体" w:hAnsi="宋体" w:eastAsia="宋体" w:cs="宋体"/>
          <w:b/>
        </w:rPr>
      </w:pPr>
      <w:r>
        <w:rPr>
          <w:rFonts w:hint="eastAsia" w:ascii="宋体" w:hAnsi="宋体" w:eastAsia="宋体" w:cs="宋体"/>
          <w:b/>
        </w:rPr>
        <w:t>第五条　双方的权利和义务</w:t>
      </w:r>
    </w:p>
    <w:p w14:paraId="4EF09B9D">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1．甲方的权利和义务</w:t>
      </w:r>
    </w:p>
    <w:p w14:paraId="7F8EA90D">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（1）甲方应明确乙方服务的工作任务和工作要求。</w:t>
      </w:r>
    </w:p>
    <w:p w14:paraId="1EF861D1">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（2）甲方有权监督、指导服务事项进展，督促乙方加强对工作人员日常管理。</w:t>
      </w:r>
    </w:p>
    <w:p w14:paraId="39CD5FC6">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（3）甲方有权对乙方服务事项开展情况进行监督，并提出整改建议。</w:t>
      </w:r>
    </w:p>
    <w:p w14:paraId="16E00866">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（4）如乙方工作人员提供的服务无法达到标准（如无法胜任工作、严重违纪等行为），甲方有权要求乙方更换工作人员。</w:t>
      </w:r>
    </w:p>
    <w:p w14:paraId="2BAEDFE3">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（5）乙方驻场管理人员的派遣、调换均须经甲方书面同意。</w:t>
      </w:r>
    </w:p>
    <w:p w14:paraId="6ECFCF18">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（6）甲方按照合同要求按时向乙方支付服务费用。</w:t>
      </w:r>
    </w:p>
    <w:p w14:paraId="3548BE6F">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2．乙方的权利和义务</w:t>
      </w:r>
    </w:p>
    <w:p w14:paraId="42BE85C3">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（1）乙方应督促和监督工作人员自觉遵守相关工作管理制度。</w:t>
      </w:r>
    </w:p>
    <w:p w14:paraId="221E50B9">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（2）乙方应按甲方要求及时向其汇报工作进展。</w:t>
      </w:r>
    </w:p>
    <w:p w14:paraId="000B9C9B">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（3）乙方在项目执行过程中所涉及的甲方全部数据、资料、往来文件等承担保密义务。</w:t>
      </w:r>
    </w:p>
    <w:p w14:paraId="5883A027">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（4）国家法律、法规所规定由乙方承担的其它责任。</w:t>
      </w:r>
    </w:p>
    <w:p w14:paraId="4CA3DAB3">
      <w:pPr>
        <w:keepLines w:val="0"/>
        <w:pageBreakBefore w:val="0"/>
        <w:widowControl/>
        <w:kinsoku/>
        <w:overflowPunct/>
        <w:topLinePunct w:val="0"/>
        <w:autoSpaceDE/>
        <w:autoSpaceDN/>
        <w:bidi w:val="0"/>
        <w:adjustRightInd/>
        <w:snapToGrid/>
        <w:spacing w:line="360" w:lineRule="auto"/>
        <w:jc w:val="both"/>
        <w:textAlignment w:val="auto"/>
        <w:rPr>
          <w:rFonts w:hint="eastAsia" w:ascii="宋体" w:hAnsi="宋体" w:eastAsia="宋体" w:cs="宋体"/>
          <w:b/>
        </w:rPr>
      </w:pPr>
      <w:r>
        <w:rPr>
          <w:rFonts w:hint="eastAsia" w:ascii="宋体" w:hAnsi="宋体" w:eastAsia="宋体" w:cs="宋体"/>
          <w:b/>
        </w:rPr>
        <w:t>第六条  保密条款</w:t>
      </w:r>
    </w:p>
    <w:p w14:paraId="4509E709">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27F10E3A">
      <w:pPr>
        <w:keepLines w:val="0"/>
        <w:pageBreakBefore w:val="0"/>
        <w:widowControl/>
        <w:kinsoku/>
        <w:overflowPunct/>
        <w:topLinePunct w:val="0"/>
        <w:autoSpaceDE/>
        <w:autoSpaceDN/>
        <w:bidi w:val="0"/>
        <w:adjustRightInd/>
        <w:snapToGrid/>
        <w:spacing w:line="360" w:lineRule="auto"/>
        <w:jc w:val="both"/>
        <w:textAlignment w:val="auto"/>
        <w:rPr>
          <w:rFonts w:hint="eastAsia" w:ascii="宋体" w:hAnsi="宋体" w:eastAsia="宋体" w:cs="宋体"/>
          <w:b/>
        </w:rPr>
      </w:pPr>
      <w:r>
        <w:rPr>
          <w:rFonts w:hint="eastAsia" w:ascii="宋体" w:hAnsi="宋体" w:eastAsia="宋体" w:cs="宋体"/>
          <w:b/>
        </w:rPr>
        <w:t>第七条　违约责任</w:t>
      </w:r>
    </w:p>
    <w:p w14:paraId="3158F85F">
      <w:pPr>
        <w:keepLines w:val="0"/>
        <w:pageBreakBefore w:val="0"/>
        <w:widowControl/>
        <w:kinsoku/>
        <w:overflowPunct/>
        <w:topLinePunct w:val="0"/>
        <w:autoSpaceDE/>
        <w:autoSpaceDN/>
        <w:bidi w:val="0"/>
        <w:adjustRightInd/>
        <w:snapToGrid/>
        <w:spacing w:line="360" w:lineRule="auto"/>
        <w:ind w:firstLine="567"/>
        <w:jc w:val="both"/>
        <w:textAlignment w:val="auto"/>
        <w:rPr>
          <w:rFonts w:hint="eastAsia" w:ascii="宋体" w:hAnsi="宋体" w:eastAsia="宋体" w:cs="宋体"/>
        </w:rPr>
      </w:pPr>
      <w:r>
        <w:rPr>
          <w:rFonts w:hint="eastAsia" w:ascii="宋体" w:hAnsi="宋体" w:eastAsia="宋体" w:cs="宋体"/>
        </w:rPr>
        <w:t>1.按《民法典》中的相关条款执行。</w:t>
      </w:r>
    </w:p>
    <w:p w14:paraId="3D3D3432">
      <w:pPr>
        <w:keepLines w:val="0"/>
        <w:pageBreakBefore w:val="0"/>
        <w:widowControl/>
        <w:kinsoku/>
        <w:overflowPunct/>
        <w:topLinePunct w:val="0"/>
        <w:autoSpaceDE/>
        <w:autoSpaceDN/>
        <w:bidi w:val="0"/>
        <w:adjustRightInd/>
        <w:snapToGrid/>
        <w:spacing w:line="360" w:lineRule="auto"/>
        <w:ind w:firstLine="567"/>
        <w:jc w:val="both"/>
        <w:textAlignment w:val="auto"/>
        <w:rPr>
          <w:rFonts w:hint="eastAsia" w:ascii="宋体" w:hAnsi="宋体" w:eastAsia="宋体" w:cs="宋体"/>
        </w:rPr>
      </w:pPr>
      <w:r>
        <w:rPr>
          <w:rFonts w:hint="eastAsia" w:ascii="宋体" w:hAnsi="宋体" w:eastAsia="宋体" w:cs="宋体"/>
        </w:rPr>
        <w:t>2.未按合同要求提供服务或服务质量不能满足合同要求，甲方应当将乙方违约的情况以及拟采取的措施以书面形式报政府采购监管部门， 根据政府采购监管部门的处理意见，甲方有权单方面终止合同，并要求乙方承担违约责任。同时，政府采购监管部门有权依据《政府采购法》及相关法律法规对乙方的违法行为进行相应的处罚。</w:t>
      </w:r>
    </w:p>
    <w:p w14:paraId="70083A47">
      <w:pPr>
        <w:keepLines w:val="0"/>
        <w:pageBreakBefore w:val="0"/>
        <w:widowControl/>
        <w:kinsoku/>
        <w:overflowPunct/>
        <w:topLinePunct w:val="0"/>
        <w:autoSpaceDE/>
        <w:autoSpaceDN/>
        <w:bidi w:val="0"/>
        <w:adjustRightInd/>
        <w:snapToGrid/>
        <w:spacing w:line="360" w:lineRule="auto"/>
        <w:ind w:firstLine="567"/>
        <w:jc w:val="both"/>
        <w:textAlignment w:val="auto"/>
        <w:rPr>
          <w:rFonts w:hint="eastAsia" w:ascii="宋体" w:hAnsi="宋体" w:eastAsia="宋体" w:cs="宋体"/>
        </w:rPr>
      </w:pPr>
      <w:r>
        <w:rPr>
          <w:rFonts w:hint="eastAsia" w:ascii="宋体" w:hAnsi="宋体" w:eastAsia="宋体" w:cs="宋体"/>
        </w:rPr>
        <w:t>3.在本合同履行过程中，双方因违约或造成对方经济、社会效益等损失的应当赔偿，包括但不限于律师费、差旅费、诉讼费、调查费、公证费、鉴定费、专家证人出庭费、诉讼保全保险费等。</w:t>
      </w:r>
    </w:p>
    <w:p w14:paraId="06B0A703">
      <w:pPr>
        <w:keepLines w:val="0"/>
        <w:pageBreakBefore w:val="0"/>
        <w:widowControl/>
        <w:kinsoku/>
        <w:overflowPunct/>
        <w:topLinePunct w:val="0"/>
        <w:autoSpaceDE/>
        <w:autoSpaceDN/>
        <w:bidi w:val="0"/>
        <w:adjustRightInd/>
        <w:snapToGrid/>
        <w:spacing w:line="360" w:lineRule="auto"/>
        <w:ind w:firstLine="567"/>
        <w:jc w:val="both"/>
        <w:textAlignment w:val="auto"/>
        <w:rPr>
          <w:rFonts w:hint="eastAsia" w:ascii="宋体" w:hAnsi="宋体" w:eastAsia="宋体" w:cs="宋体"/>
        </w:rPr>
      </w:pPr>
      <w:r>
        <w:rPr>
          <w:rFonts w:hint="eastAsia" w:ascii="宋体" w:hAnsi="宋体" w:eastAsia="宋体" w:cs="宋体"/>
        </w:rPr>
        <w:t>4.乙方提供的服务不符合本项目相关文件和本合同规定的，甲方有权拒绝。</w:t>
      </w:r>
    </w:p>
    <w:p w14:paraId="4203E340">
      <w:pPr>
        <w:keepLines w:val="0"/>
        <w:pageBreakBefore w:val="0"/>
        <w:widowControl/>
        <w:kinsoku/>
        <w:overflowPunct/>
        <w:topLinePunct w:val="0"/>
        <w:autoSpaceDE/>
        <w:autoSpaceDN/>
        <w:bidi w:val="0"/>
        <w:adjustRightInd/>
        <w:snapToGrid/>
        <w:spacing w:line="360" w:lineRule="auto"/>
        <w:ind w:firstLine="567"/>
        <w:jc w:val="both"/>
        <w:textAlignment w:val="auto"/>
        <w:rPr>
          <w:rFonts w:hint="eastAsia" w:ascii="宋体" w:hAnsi="宋体" w:eastAsia="宋体" w:cs="宋体"/>
        </w:rPr>
      </w:pPr>
      <w:r>
        <w:rPr>
          <w:rFonts w:hint="eastAsia" w:ascii="宋体" w:hAnsi="宋体" w:eastAsia="宋体" w:cs="宋体"/>
        </w:rPr>
        <w:t>5.未经甲方同意，乙方不得擅自将本合同服务转包或分包第三方承担。</w:t>
      </w:r>
    </w:p>
    <w:p w14:paraId="3398CD55">
      <w:pPr>
        <w:keepLines w:val="0"/>
        <w:pageBreakBefore w:val="0"/>
        <w:widowControl/>
        <w:kinsoku/>
        <w:overflowPunct/>
        <w:topLinePunct w:val="0"/>
        <w:autoSpaceDE/>
        <w:autoSpaceDN/>
        <w:bidi w:val="0"/>
        <w:adjustRightInd/>
        <w:snapToGrid/>
        <w:spacing w:line="360" w:lineRule="auto"/>
        <w:jc w:val="both"/>
        <w:textAlignment w:val="auto"/>
        <w:rPr>
          <w:rFonts w:hint="eastAsia" w:ascii="宋体" w:hAnsi="宋体" w:eastAsia="宋体" w:cs="宋体"/>
          <w:b/>
        </w:rPr>
      </w:pPr>
      <w:r>
        <w:rPr>
          <w:rFonts w:hint="eastAsia" w:ascii="宋体" w:hAnsi="宋体" w:eastAsia="宋体" w:cs="宋体"/>
          <w:b/>
        </w:rPr>
        <w:t>第八条　不可抗力事件处理</w:t>
      </w:r>
    </w:p>
    <w:p w14:paraId="0809FCC4">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0232983D">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2．不可抗力事件发生后，应立即通知对方，并寄送有关权威机构出具的证明。一方因未及时履行通知义务致使损失扩大的，应向另一方赔偿由此遭受的损失。</w:t>
      </w:r>
    </w:p>
    <w:p w14:paraId="6A071601">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3．不可抗力事件延续15个日历日以上，双方应通过友好协商，确定是否继续履行合同。</w:t>
      </w:r>
    </w:p>
    <w:p w14:paraId="2CE406E6">
      <w:pPr>
        <w:keepLines w:val="0"/>
        <w:pageBreakBefore w:val="0"/>
        <w:widowControl/>
        <w:kinsoku/>
        <w:overflowPunct/>
        <w:topLinePunct w:val="0"/>
        <w:autoSpaceDE/>
        <w:autoSpaceDN/>
        <w:bidi w:val="0"/>
        <w:adjustRightInd/>
        <w:snapToGrid/>
        <w:spacing w:line="360" w:lineRule="auto"/>
        <w:jc w:val="both"/>
        <w:textAlignment w:val="auto"/>
        <w:rPr>
          <w:rFonts w:hint="eastAsia" w:ascii="宋体" w:hAnsi="宋体" w:eastAsia="宋体" w:cs="宋体"/>
          <w:b/>
        </w:rPr>
      </w:pPr>
      <w:r>
        <w:rPr>
          <w:rFonts w:hint="eastAsia" w:ascii="宋体" w:hAnsi="宋体" w:eastAsia="宋体" w:cs="宋体"/>
          <w:b/>
        </w:rPr>
        <w:t>第九条　合同的变更和终止</w:t>
      </w:r>
    </w:p>
    <w:p w14:paraId="42E96A90">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除《中华人民共和国政府采购法》第49条、第50条第二款规定的情形外，本合同一经签订，甲乙双方不得擅自变更、中止或终止合同。</w:t>
      </w:r>
    </w:p>
    <w:p w14:paraId="0FA9FB52">
      <w:pPr>
        <w:keepLines w:val="0"/>
        <w:pageBreakBefore w:val="0"/>
        <w:widowControl/>
        <w:kinsoku/>
        <w:overflowPunct/>
        <w:topLinePunct w:val="0"/>
        <w:autoSpaceDE/>
        <w:autoSpaceDN/>
        <w:bidi w:val="0"/>
        <w:adjustRightInd/>
        <w:snapToGrid/>
        <w:spacing w:line="360" w:lineRule="auto"/>
        <w:jc w:val="both"/>
        <w:textAlignment w:val="auto"/>
        <w:rPr>
          <w:rFonts w:hint="eastAsia" w:ascii="宋体" w:hAnsi="宋体" w:eastAsia="宋体" w:cs="宋体"/>
          <w:b/>
        </w:rPr>
      </w:pPr>
      <w:r>
        <w:rPr>
          <w:rFonts w:hint="eastAsia" w:ascii="宋体" w:hAnsi="宋体" w:eastAsia="宋体" w:cs="宋体"/>
          <w:b/>
        </w:rPr>
        <w:t>第十条　解决合同纠纷的方式</w:t>
      </w:r>
    </w:p>
    <w:p w14:paraId="071B2693">
      <w:pPr>
        <w:keepLines w:val="0"/>
        <w:pageBreakBefore w:val="0"/>
        <w:widowControl/>
        <w:kinsoku/>
        <w:overflowPunct/>
        <w:topLinePunct w:val="0"/>
        <w:autoSpaceDE/>
        <w:autoSpaceDN/>
        <w:bidi w:val="0"/>
        <w:adjustRightInd/>
        <w:snapToGrid/>
        <w:spacing w:line="360" w:lineRule="auto"/>
        <w:ind w:firstLine="567"/>
        <w:jc w:val="both"/>
        <w:textAlignment w:val="auto"/>
        <w:rPr>
          <w:rFonts w:hint="eastAsia" w:ascii="宋体" w:hAnsi="宋体" w:eastAsia="宋体" w:cs="宋体"/>
        </w:rPr>
      </w:pPr>
      <w:r>
        <w:rPr>
          <w:rFonts w:hint="eastAsia" w:ascii="宋体" w:hAnsi="宋体" w:eastAsia="宋体" w:cs="宋体"/>
        </w:rPr>
        <w:t>对本合同执行过程中发生的一切争议，双方应友好协商解决，如协商不能解决，依法向甲方所在地有管辖权的人民法院提起诉讼。</w:t>
      </w:r>
    </w:p>
    <w:p w14:paraId="37A38834">
      <w:pPr>
        <w:keepLines w:val="0"/>
        <w:pageBreakBefore w:val="0"/>
        <w:widowControl/>
        <w:kinsoku/>
        <w:overflowPunct/>
        <w:topLinePunct w:val="0"/>
        <w:autoSpaceDE/>
        <w:autoSpaceDN/>
        <w:bidi w:val="0"/>
        <w:adjustRightInd/>
        <w:snapToGrid/>
        <w:spacing w:line="360" w:lineRule="auto"/>
        <w:jc w:val="both"/>
        <w:textAlignment w:val="auto"/>
        <w:rPr>
          <w:rFonts w:hint="eastAsia" w:ascii="宋体" w:hAnsi="宋体" w:eastAsia="宋体" w:cs="宋体"/>
          <w:b/>
        </w:rPr>
      </w:pPr>
      <w:r>
        <w:rPr>
          <w:rFonts w:hint="eastAsia" w:ascii="宋体" w:hAnsi="宋体" w:eastAsia="宋体" w:cs="宋体"/>
          <w:b/>
        </w:rPr>
        <w:t>第十一条　合同生效及其他</w:t>
      </w:r>
    </w:p>
    <w:p w14:paraId="17AD1294">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1．合同经双方法定代表人（负责人）或授权委托代理人签名并加盖单位公章并由采购代理机构盖章后生效。</w:t>
      </w:r>
    </w:p>
    <w:p w14:paraId="65AE6984">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2．合同执行中涉及采购资金和采购内容修改或补充的，须经政府采购监管部门审批，并签书面补充协议报政府采购监督管理部门备案，方可作为主合同不可分割的一部分。</w:t>
      </w:r>
    </w:p>
    <w:p w14:paraId="13BFCFC2">
      <w:pPr>
        <w:pStyle w:val="6"/>
        <w:keepLines w:val="0"/>
        <w:pageBreakBefore w:val="0"/>
        <w:widowControl/>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3．本合同一式肆份，自双方签章之日起起效。甲方贰份，乙方贰份，具有同等法律效力。</w:t>
      </w:r>
    </w:p>
    <w:p w14:paraId="6F12DE2B">
      <w:pPr>
        <w:keepLines w:val="0"/>
        <w:pageBreakBefore w:val="0"/>
        <w:kinsoku/>
        <w:overflowPunct/>
        <w:topLinePunct w:val="0"/>
        <w:bidi w:val="0"/>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br w:type="page"/>
      </w:r>
    </w:p>
    <w:p w14:paraId="4EE58DBC">
      <w:pPr>
        <w:keepLines w:val="0"/>
        <w:pageBreakBefore w:val="0"/>
        <w:kinsoku/>
        <w:overflowPunct/>
        <w:topLinePunct w:val="0"/>
        <w:bidi w:val="0"/>
        <w:snapToGrid/>
        <w:spacing w:line="360" w:lineRule="auto"/>
        <w:textAlignment w:val="auto"/>
        <w:rPr>
          <w:rFonts w:hint="eastAsia" w:ascii="宋体" w:hAnsi="宋体" w:eastAsia="宋体" w:cs="宋体"/>
          <w:lang w:val="en-US" w:eastAsia="zh-CN"/>
        </w:rPr>
      </w:pPr>
      <w:r>
        <w:rPr>
          <w:rFonts w:hint="eastAsia" w:ascii="宋体" w:hAnsi="宋体" w:eastAsia="宋体" w:cs="宋体"/>
          <w:lang w:val="en-US" w:eastAsia="zh-CN"/>
        </w:rPr>
        <w:t>盖章页：</w:t>
      </w:r>
    </w:p>
    <w:p w14:paraId="0B348117">
      <w:pPr>
        <w:pStyle w:val="2"/>
        <w:keepLines w:val="0"/>
        <w:pageBreakBefore w:val="0"/>
        <w:kinsoku/>
        <w:overflowPunct/>
        <w:topLinePunct w:val="0"/>
        <w:bidi w:val="0"/>
        <w:snapToGrid/>
        <w:spacing w:line="360" w:lineRule="auto"/>
        <w:textAlignment w:val="auto"/>
        <w:rPr>
          <w:rFonts w:hint="eastAsia" w:ascii="宋体" w:hAnsi="宋体" w:eastAsia="宋体" w:cs="宋体"/>
          <w:lang w:val="en-US" w:eastAsia="zh-CN"/>
        </w:rPr>
      </w:pPr>
    </w:p>
    <w:tbl>
      <w:tblPr>
        <w:tblStyle w:val="4"/>
        <w:tblW w:w="0" w:type="auto"/>
        <w:jc w:val="center"/>
        <w:tblLayout w:type="fixed"/>
        <w:tblCellMar>
          <w:top w:w="0" w:type="dxa"/>
          <w:left w:w="108" w:type="dxa"/>
          <w:bottom w:w="0" w:type="dxa"/>
          <w:right w:w="108" w:type="dxa"/>
        </w:tblCellMar>
      </w:tblPr>
      <w:tblGrid>
        <w:gridCol w:w="4139"/>
        <w:gridCol w:w="4139"/>
      </w:tblGrid>
      <w:tr w14:paraId="2CE969C1">
        <w:tblPrEx>
          <w:tblCellMar>
            <w:top w:w="0" w:type="dxa"/>
            <w:left w:w="108" w:type="dxa"/>
            <w:bottom w:w="0" w:type="dxa"/>
            <w:right w:w="108" w:type="dxa"/>
          </w:tblCellMar>
        </w:tblPrEx>
        <w:trPr>
          <w:trHeight w:val="680" w:hRule="exact"/>
          <w:jc w:val="center"/>
        </w:trPr>
        <w:tc>
          <w:tcPr>
            <w:tcW w:w="4139" w:type="dxa"/>
            <w:noWrap w:val="0"/>
            <w:vAlign w:val="center"/>
          </w:tcPr>
          <w:p w14:paraId="72D0E1FE">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  方：</w:t>
            </w:r>
          </w:p>
        </w:tc>
        <w:tc>
          <w:tcPr>
            <w:tcW w:w="4139" w:type="dxa"/>
            <w:noWrap w:val="0"/>
            <w:vAlign w:val="center"/>
          </w:tcPr>
          <w:p w14:paraId="76538948">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  方：</w:t>
            </w:r>
          </w:p>
        </w:tc>
      </w:tr>
      <w:tr w14:paraId="3119229D">
        <w:tblPrEx>
          <w:tblCellMar>
            <w:top w:w="0" w:type="dxa"/>
            <w:left w:w="108" w:type="dxa"/>
            <w:bottom w:w="0" w:type="dxa"/>
            <w:right w:w="108" w:type="dxa"/>
          </w:tblCellMar>
        </w:tblPrEx>
        <w:trPr>
          <w:trHeight w:val="590" w:hRule="exact"/>
          <w:jc w:val="center"/>
        </w:trPr>
        <w:tc>
          <w:tcPr>
            <w:tcW w:w="4139" w:type="dxa"/>
            <w:noWrap w:val="0"/>
            <w:vAlign w:val="center"/>
          </w:tcPr>
          <w:p w14:paraId="4F3B93DB">
            <w:pPr>
              <w:keepNext w:val="0"/>
              <w:keepLines w:val="0"/>
              <w:pageBreakBefore w:val="0"/>
              <w:widowControl w:val="0"/>
              <w:kinsoku/>
              <w:wordWrap/>
              <w:overflowPunct/>
              <w:topLinePunct w:val="0"/>
              <w:autoSpaceDE w:val="0"/>
              <w:autoSpaceDN w:val="0"/>
              <w:bidi w:val="0"/>
              <w:adjustRightInd w:val="0"/>
              <w:snapToGrid/>
              <w:spacing w:line="360" w:lineRule="auto"/>
              <w:ind w:firstLine="945" w:firstLineChars="4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（盖章）</w:t>
            </w:r>
          </w:p>
        </w:tc>
        <w:tc>
          <w:tcPr>
            <w:tcW w:w="4139" w:type="dxa"/>
            <w:noWrap w:val="0"/>
            <w:vAlign w:val="center"/>
          </w:tcPr>
          <w:p w14:paraId="15BC6823">
            <w:pPr>
              <w:keepNext w:val="0"/>
              <w:keepLines w:val="0"/>
              <w:pageBreakBefore w:val="0"/>
              <w:widowControl w:val="0"/>
              <w:kinsoku/>
              <w:wordWrap/>
              <w:overflowPunct/>
              <w:topLinePunct w:val="0"/>
              <w:autoSpaceDE w:val="0"/>
              <w:autoSpaceDN w:val="0"/>
              <w:bidi w:val="0"/>
              <w:adjustRightInd w:val="0"/>
              <w:snapToGrid/>
              <w:spacing w:line="360" w:lineRule="auto"/>
              <w:ind w:firstLine="735" w:firstLineChars="3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（盖章）</w:t>
            </w:r>
          </w:p>
        </w:tc>
      </w:tr>
      <w:tr w14:paraId="77BABA15">
        <w:tblPrEx>
          <w:tblCellMar>
            <w:top w:w="0" w:type="dxa"/>
            <w:left w:w="108" w:type="dxa"/>
            <w:bottom w:w="0" w:type="dxa"/>
            <w:right w:w="108" w:type="dxa"/>
          </w:tblCellMar>
        </w:tblPrEx>
        <w:trPr>
          <w:trHeight w:val="620" w:hRule="exact"/>
          <w:jc w:val="center"/>
        </w:trPr>
        <w:tc>
          <w:tcPr>
            <w:tcW w:w="4139" w:type="dxa"/>
            <w:noWrap w:val="0"/>
            <w:vAlign w:val="center"/>
          </w:tcPr>
          <w:p w14:paraId="1717EEF9">
            <w:pPr>
              <w:keepNext w:val="0"/>
              <w:keepLines w:val="0"/>
              <w:pageBreakBefore w:val="0"/>
              <w:widowControl w:val="0"/>
              <w:tabs>
                <w:tab w:val="left" w:pos="0"/>
              </w:tabs>
              <w:kinsoku/>
              <w:wordWrap/>
              <w:overflowPunct/>
              <w:topLinePunct w:val="0"/>
              <w:bidi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地址： </w:t>
            </w:r>
          </w:p>
        </w:tc>
        <w:tc>
          <w:tcPr>
            <w:tcW w:w="4139" w:type="dxa"/>
            <w:noWrap w:val="0"/>
            <w:vAlign w:val="center"/>
          </w:tcPr>
          <w:p w14:paraId="24C74D30">
            <w:pPr>
              <w:keepNext w:val="0"/>
              <w:keepLines w:val="0"/>
              <w:pageBreakBefore w:val="0"/>
              <w:widowControl w:val="0"/>
              <w:tabs>
                <w:tab w:val="left" w:pos="0"/>
              </w:tabs>
              <w:kinsoku/>
              <w:wordWrap/>
              <w:overflowPunct/>
              <w:topLinePunct w:val="0"/>
              <w:bidi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w:t>
            </w:r>
          </w:p>
        </w:tc>
      </w:tr>
      <w:tr w14:paraId="6A65628C">
        <w:tblPrEx>
          <w:tblCellMar>
            <w:top w:w="0" w:type="dxa"/>
            <w:left w:w="108" w:type="dxa"/>
            <w:bottom w:w="0" w:type="dxa"/>
            <w:right w:w="108" w:type="dxa"/>
          </w:tblCellMar>
        </w:tblPrEx>
        <w:trPr>
          <w:trHeight w:val="575" w:hRule="exact"/>
          <w:jc w:val="center"/>
        </w:trPr>
        <w:tc>
          <w:tcPr>
            <w:tcW w:w="4139" w:type="dxa"/>
            <w:noWrap w:val="0"/>
            <w:vAlign w:val="center"/>
          </w:tcPr>
          <w:p w14:paraId="14426D4E">
            <w:pPr>
              <w:keepNext w:val="0"/>
              <w:keepLines w:val="0"/>
              <w:pageBreakBefore w:val="0"/>
              <w:widowControl w:val="0"/>
              <w:tabs>
                <w:tab w:val="left" w:pos="0"/>
              </w:tabs>
              <w:kinsoku/>
              <w:wordWrap/>
              <w:overflowPunct/>
              <w:topLinePunct w:val="0"/>
              <w:bidi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邮编：</w:t>
            </w:r>
          </w:p>
        </w:tc>
        <w:tc>
          <w:tcPr>
            <w:tcW w:w="4139" w:type="dxa"/>
            <w:noWrap w:val="0"/>
            <w:vAlign w:val="center"/>
          </w:tcPr>
          <w:p w14:paraId="64F17F61">
            <w:pPr>
              <w:keepNext w:val="0"/>
              <w:keepLines w:val="0"/>
              <w:pageBreakBefore w:val="0"/>
              <w:widowControl w:val="0"/>
              <w:tabs>
                <w:tab w:val="left" w:pos="0"/>
              </w:tabs>
              <w:kinsoku/>
              <w:wordWrap/>
              <w:overflowPunct/>
              <w:topLinePunct w:val="0"/>
              <w:bidi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邮编：</w:t>
            </w:r>
          </w:p>
        </w:tc>
      </w:tr>
      <w:tr w14:paraId="695015A3">
        <w:tblPrEx>
          <w:tblCellMar>
            <w:top w:w="0" w:type="dxa"/>
            <w:left w:w="108" w:type="dxa"/>
            <w:bottom w:w="0" w:type="dxa"/>
            <w:right w:w="108" w:type="dxa"/>
          </w:tblCellMar>
        </w:tblPrEx>
        <w:trPr>
          <w:trHeight w:val="620" w:hRule="exact"/>
          <w:jc w:val="center"/>
        </w:trPr>
        <w:tc>
          <w:tcPr>
            <w:tcW w:w="4139" w:type="dxa"/>
            <w:noWrap w:val="0"/>
            <w:vAlign w:val="center"/>
          </w:tcPr>
          <w:p w14:paraId="39490563">
            <w:pPr>
              <w:keepNext w:val="0"/>
              <w:keepLines w:val="0"/>
              <w:pageBreakBefore w:val="0"/>
              <w:widowControl w:val="0"/>
              <w:tabs>
                <w:tab w:val="left" w:pos="0"/>
              </w:tabs>
              <w:kinsoku/>
              <w:wordWrap/>
              <w:overflowPunct/>
              <w:topLinePunct w:val="0"/>
              <w:bidi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 </w:t>
            </w:r>
          </w:p>
        </w:tc>
        <w:tc>
          <w:tcPr>
            <w:tcW w:w="4139" w:type="dxa"/>
            <w:noWrap w:val="0"/>
            <w:vAlign w:val="center"/>
          </w:tcPr>
          <w:p w14:paraId="335E2D7C">
            <w:pPr>
              <w:keepNext w:val="0"/>
              <w:keepLines w:val="0"/>
              <w:pageBreakBefore w:val="0"/>
              <w:widowControl w:val="0"/>
              <w:tabs>
                <w:tab w:val="left" w:pos="0"/>
              </w:tabs>
              <w:kinsoku/>
              <w:wordWrap/>
              <w:overflowPunct/>
              <w:topLinePunct w:val="0"/>
              <w:bidi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p>
        </w:tc>
      </w:tr>
      <w:tr w14:paraId="47581674">
        <w:tblPrEx>
          <w:tblCellMar>
            <w:top w:w="0" w:type="dxa"/>
            <w:left w:w="108" w:type="dxa"/>
            <w:bottom w:w="0" w:type="dxa"/>
            <w:right w:w="108" w:type="dxa"/>
          </w:tblCellMar>
        </w:tblPrEx>
        <w:trPr>
          <w:trHeight w:val="650" w:hRule="exact"/>
          <w:jc w:val="center"/>
        </w:trPr>
        <w:tc>
          <w:tcPr>
            <w:tcW w:w="4139" w:type="dxa"/>
            <w:noWrap w:val="0"/>
            <w:vAlign w:val="center"/>
          </w:tcPr>
          <w:p w14:paraId="7604B47A">
            <w:pPr>
              <w:keepNext w:val="0"/>
              <w:keepLines w:val="0"/>
              <w:pageBreakBefore w:val="0"/>
              <w:widowControl w:val="0"/>
              <w:tabs>
                <w:tab w:val="left" w:pos="0"/>
              </w:tabs>
              <w:kinsoku/>
              <w:wordWrap/>
              <w:overflowPunct/>
              <w:topLinePunct w:val="0"/>
              <w:bidi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被授权代表：</w:t>
            </w:r>
          </w:p>
        </w:tc>
        <w:tc>
          <w:tcPr>
            <w:tcW w:w="4139" w:type="dxa"/>
            <w:noWrap w:val="0"/>
            <w:vAlign w:val="center"/>
          </w:tcPr>
          <w:p w14:paraId="0FF3317B">
            <w:pPr>
              <w:keepNext w:val="0"/>
              <w:keepLines w:val="0"/>
              <w:pageBreakBefore w:val="0"/>
              <w:widowControl w:val="0"/>
              <w:tabs>
                <w:tab w:val="left" w:pos="0"/>
              </w:tabs>
              <w:kinsoku/>
              <w:wordWrap/>
              <w:overflowPunct/>
              <w:topLinePunct w:val="0"/>
              <w:bidi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被授权代表：</w:t>
            </w:r>
          </w:p>
        </w:tc>
      </w:tr>
      <w:tr w14:paraId="3C75D4BA">
        <w:tblPrEx>
          <w:tblCellMar>
            <w:top w:w="0" w:type="dxa"/>
            <w:left w:w="108" w:type="dxa"/>
            <w:bottom w:w="0" w:type="dxa"/>
            <w:right w:w="108" w:type="dxa"/>
          </w:tblCellMar>
        </w:tblPrEx>
        <w:trPr>
          <w:trHeight w:val="530" w:hRule="exact"/>
          <w:jc w:val="center"/>
        </w:trPr>
        <w:tc>
          <w:tcPr>
            <w:tcW w:w="4139" w:type="dxa"/>
            <w:noWrap w:val="0"/>
            <w:vAlign w:val="center"/>
          </w:tcPr>
          <w:p w14:paraId="5CA761B7">
            <w:pPr>
              <w:keepNext w:val="0"/>
              <w:keepLines w:val="0"/>
              <w:pageBreakBefore w:val="0"/>
              <w:widowControl w:val="0"/>
              <w:tabs>
                <w:tab w:val="left" w:pos="0"/>
              </w:tabs>
              <w:kinsoku/>
              <w:wordWrap/>
              <w:overflowPunct/>
              <w:topLinePunct w:val="0"/>
              <w:bidi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p>
        </w:tc>
        <w:tc>
          <w:tcPr>
            <w:tcW w:w="4139" w:type="dxa"/>
            <w:noWrap w:val="0"/>
            <w:vAlign w:val="center"/>
          </w:tcPr>
          <w:p w14:paraId="4E5EC7E1">
            <w:pPr>
              <w:keepNext w:val="0"/>
              <w:keepLines w:val="0"/>
              <w:pageBreakBefore w:val="0"/>
              <w:widowControl w:val="0"/>
              <w:tabs>
                <w:tab w:val="left" w:pos="0"/>
              </w:tabs>
              <w:kinsoku/>
              <w:wordWrap/>
              <w:overflowPunct/>
              <w:topLinePunct w:val="0"/>
              <w:bidi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p>
        </w:tc>
      </w:tr>
      <w:tr w14:paraId="4133BB46">
        <w:tblPrEx>
          <w:tblCellMar>
            <w:top w:w="0" w:type="dxa"/>
            <w:left w:w="108" w:type="dxa"/>
            <w:bottom w:w="0" w:type="dxa"/>
            <w:right w:w="108" w:type="dxa"/>
          </w:tblCellMar>
        </w:tblPrEx>
        <w:trPr>
          <w:trHeight w:val="530" w:hRule="exact"/>
          <w:jc w:val="center"/>
        </w:trPr>
        <w:tc>
          <w:tcPr>
            <w:tcW w:w="4139" w:type="dxa"/>
            <w:noWrap w:val="0"/>
            <w:vAlign w:val="center"/>
          </w:tcPr>
          <w:p w14:paraId="328D9A91">
            <w:pPr>
              <w:keepNext w:val="0"/>
              <w:keepLines w:val="0"/>
              <w:pageBreakBefore w:val="0"/>
              <w:widowControl w:val="0"/>
              <w:tabs>
                <w:tab w:val="left" w:pos="0"/>
              </w:tabs>
              <w:kinsoku/>
              <w:wordWrap/>
              <w:overflowPunct/>
              <w:topLinePunct w:val="0"/>
              <w:bidi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传真：</w:t>
            </w:r>
          </w:p>
        </w:tc>
        <w:tc>
          <w:tcPr>
            <w:tcW w:w="4139" w:type="dxa"/>
            <w:noWrap w:val="0"/>
            <w:vAlign w:val="center"/>
          </w:tcPr>
          <w:p w14:paraId="14ADDED3">
            <w:pPr>
              <w:keepNext w:val="0"/>
              <w:keepLines w:val="0"/>
              <w:pageBreakBefore w:val="0"/>
              <w:widowControl w:val="0"/>
              <w:tabs>
                <w:tab w:val="left" w:pos="0"/>
              </w:tabs>
              <w:kinsoku/>
              <w:wordWrap/>
              <w:overflowPunct/>
              <w:topLinePunct w:val="0"/>
              <w:bidi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传真：</w:t>
            </w:r>
          </w:p>
        </w:tc>
      </w:tr>
      <w:tr w14:paraId="2AF83BC1">
        <w:tblPrEx>
          <w:tblCellMar>
            <w:top w:w="0" w:type="dxa"/>
            <w:left w:w="108" w:type="dxa"/>
            <w:bottom w:w="0" w:type="dxa"/>
            <w:right w:w="108" w:type="dxa"/>
          </w:tblCellMar>
        </w:tblPrEx>
        <w:trPr>
          <w:trHeight w:val="665" w:hRule="exact"/>
          <w:jc w:val="center"/>
        </w:trPr>
        <w:tc>
          <w:tcPr>
            <w:tcW w:w="4139" w:type="dxa"/>
            <w:noWrap w:val="0"/>
            <w:vAlign w:val="center"/>
          </w:tcPr>
          <w:p w14:paraId="0A55F7AC">
            <w:pPr>
              <w:keepNext w:val="0"/>
              <w:keepLines w:val="0"/>
              <w:pageBreakBefore w:val="0"/>
              <w:widowControl w:val="0"/>
              <w:tabs>
                <w:tab w:val="left" w:pos="0"/>
              </w:tabs>
              <w:kinsoku/>
              <w:wordWrap/>
              <w:overflowPunct/>
              <w:topLinePunct w:val="0"/>
              <w:bidi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tc>
        <w:tc>
          <w:tcPr>
            <w:tcW w:w="4139" w:type="dxa"/>
            <w:noWrap w:val="0"/>
            <w:vAlign w:val="center"/>
          </w:tcPr>
          <w:p w14:paraId="22500BDE">
            <w:pPr>
              <w:keepNext w:val="0"/>
              <w:keepLines w:val="0"/>
              <w:pageBreakBefore w:val="0"/>
              <w:widowControl w:val="0"/>
              <w:tabs>
                <w:tab w:val="left" w:pos="0"/>
              </w:tabs>
              <w:kinsoku/>
              <w:wordWrap/>
              <w:overflowPunct/>
              <w:topLinePunct w:val="0"/>
              <w:bidi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tc>
      </w:tr>
      <w:tr w14:paraId="474A550B">
        <w:tblPrEx>
          <w:tblCellMar>
            <w:top w:w="0" w:type="dxa"/>
            <w:left w:w="108" w:type="dxa"/>
            <w:bottom w:w="0" w:type="dxa"/>
            <w:right w:w="108" w:type="dxa"/>
          </w:tblCellMar>
        </w:tblPrEx>
        <w:trPr>
          <w:trHeight w:val="680" w:hRule="exact"/>
          <w:jc w:val="center"/>
        </w:trPr>
        <w:tc>
          <w:tcPr>
            <w:tcW w:w="4139" w:type="dxa"/>
            <w:noWrap w:val="0"/>
            <w:vAlign w:val="center"/>
          </w:tcPr>
          <w:p w14:paraId="1F628CFB">
            <w:pPr>
              <w:keepNext w:val="0"/>
              <w:keepLines w:val="0"/>
              <w:pageBreakBefore w:val="0"/>
              <w:widowControl w:val="0"/>
              <w:tabs>
                <w:tab w:val="left" w:pos="0"/>
              </w:tabs>
              <w:kinsoku/>
              <w:wordWrap/>
              <w:overflowPunct/>
              <w:topLinePunct w:val="0"/>
              <w:bidi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p>
        </w:tc>
        <w:tc>
          <w:tcPr>
            <w:tcW w:w="4139" w:type="dxa"/>
            <w:noWrap w:val="0"/>
            <w:vAlign w:val="center"/>
          </w:tcPr>
          <w:p w14:paraId="313492DB">
            <w:pPr>
              <w:keepNext w:val="0"/>
              <w:keepLines w:val="0"/>
              <w:pageBreakBefore w:val="0"/>
              <w:widowControl w:val="0"/>
              <w:tabs>
                <w:tab w:val="left" w:pos="0"/>
              </w:tabs>
              <w:kinsoku/>
              <w:wordWrap/>
              <w:overflowPunct/>
              <w:topLinePunct w:val="0"/>
              <w:bidi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p>
        </w:tc>
      </w:tr>
    </w:tbl>
    <w:p w14:paraId="7F415D19">
      <w:pPr>
        <w:keepLines w:val="0"/>
        <w:pageBreakBefore w:val="0"/>
        <w:widowControl/>
        <w:kinsoku/>
        <w:overflowPunct/>
        <w:topLinePunct w:val="0"/>
        <w:autoSpaceDE/>
        <w:autoSpaceDN/>
        <w:bidi w:val="0"/>
        <w:adjustRightInd/>
        <w:snapToGrid/>
        <w:spacing w:line="360" w:lineRule="auto"/>
        <w:textAlignment w:val="auto"/>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4132C2"/>
    <w:multiLevelType w:val="multilevel"/>
    <w:tmpl w:val="6D4132C2"/>
    <w:lvl w:ilvl="0" w:tentative="0">
      <w:start w:val="1"/>
      <w:numFmt w:val="none"/>
      <w:pStyle w:val="3"/>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14:cntxtalts w14:val="0"/>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14:cntxtalts w14:val="0"/>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14:cntxtalts w14:val="0"/>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8F7DB7"/>
    <w:rsid w:val="2A587A65"/>
    <w:rsid w:val="54C851C4"/>
    <w:rsid w:val="638F7DB7"/>
    <w:rsid w:val="68FB42D8"/>
    <w:rsid w:val="6E737F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cs="Times New Roman" w:asciiTheme="minorHAnsi" w:hAnsiTheme="minorHAnsi" w:eastAsiaTheme="minorEastAsia"/>
      <w:kern w:val="0"/>
      <w:sz w:val="24"/>
      <w:szCs w:val="24"/>
      <w:lang w:val="en-US" w:eastAsia="zh-CN" w:bidi="ar-SA"/>
    </w:rPr>
  </w:style>
  <w:style w:type="paragraph" w:styleId="3">
    <w:name w:val="heading 1"/>
    <w:basedOn w:val="1"/>
    <w:next w:val="1"/>
    <w:qFormat/>
    <w:uiPriority w:val="0"/>
    <w:pPr>
      <w:keepNext/>
      <w:numPr>
        <w:ilvl w:val="0"/>
        <w:numId w:val="1"/>
      </w:numPr>
      <w:spacing w:before="50" w:beforeLines="50" w:after="50" w:afterLines="50"/>
      <w:jc w:val="center"/>
      <w:outlineLvl w:val="0"/>
    </w:pPr>
    <w:rPr>
      <w:rFonts w:ascii="Calibri" w:hAnsi="Calibri" w:eastAsia="黑体"/>
      <w:bCs/>
      <w:kern w:val="36"/>
      <w:sz w:val="36"/>
      <w:szCs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kern w:val="0"/>
    </w:rPr>
  </w:style>
  <w:style w:type="paragraph" w:customStyle="1" w:styleId="6">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2402</Words>
  <Characters>2505</Characters>
  <Lines>0</Lines>
  <Paragraphs>0</Paragraphs>
  <TotalTime>4</TotalTime>
  <ScaleCrop>false</ScaleCrop>
  <LinksUpToDate>false</LinksUpToDate>
  <CharactersWithSpaces>2555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2025-07-31T06:04:00Z</dcterms:created>
  <dc:creator>WPS_1617088470</dc:creator>
  <cp:lastModifiedBy>WPS_1617088470</cp:lastModifiedBy>
  <dcterms:modified xsi:type="dcterms:W3CDTF">2026-07-01T08:07:46Z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93F5E54AED244D81A9BA159F7FAA9F3B_11</vt:lpwstr>
  </property>
  <property fmtid="{D5CDD505-2E9C-101B-9397-08002B2CF9AE}" pid="4" name="KSOTemplateDocerSaveRecord">
    <vt:lpwstr>eyJoZGlkIjoiNGE4ZjJjMGU3NmM1MDlkOTJkZDFmMTQ2ZjMzMTRjNmMiLCJ1c2VySWQiOiIxMjAxNjE3NTYyIn0=</vt:lpwstr>
  </property>
</Properties>
</file>