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版本号：ZZDY-2026-01120260509001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陵前镇、渠岸镇污水处理厂双回路供电改造项目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ZZDY-2026-011</w:t>
      </w:r>
      <w:r>
        <w:br/>
      </w:r>
      <w:r>
        <w:br/>
      </w:r>
      <w:r>
        <w:br/>
      </w:r>
    </w:p>
    <w:p>
      <w:pPr>
        <w:pStyle w:val="null3"/>
        <w:jc w:val="center"/>
        <w:outlineLvl w:val="2"/>
      </w:pPr>
      <w:r>
        <w:rPr>
          <w:rFonts w:ascii="仿宋_GB2312" w:hAnsi="仿宋_GB2312" w:cs="仿宋_GB2312" w:eastAsia="仿宋_GB2312"/>
          <w:sz w:val="28"/>
          <w:b/>
        </w:rPr>
        <w:t>三原县住房和城乡建设局</w:t>
      </w:r>
    </w:p>
    <w:p>
      <w:pPr>
        <w:pStyle w:val="null3"/>
        <w:jc w:val="center"/>
        <w:outlineLvl w:val="2"/>
      </w:pPr>
      <w:r>
        <w:rPr>
          <w:rFonts w:ascii="仿宋_GB2312" w:hAnsi="仿宋_GB2312" w:cs="仿宋_GB2312" w:eastAsia="仿宋_GB2312"/>
          <w:sz w:val="28"/>
          <w:b/>
        </w:rPr>
        <w:t>陕西中正鼎裕项目管理有限公司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陕西中正鼎裕项目管理有限公司</w:t>
      </w:r>
      <w:r>
        <w:rPr>
          <w:rFonts w:ascii="仿宋_GB2312" w:hAnsi="仿宋_GB2312" w:cs="仿宋_GB2312" w:eastAsia="仿宋_GB2312"/>
        </w:rPr>
        <w:t>（以下简称“代理机构”）受</w:t>
      </w:r>
      <w:r>
        <w:rPr>
          <w:rFonts w:ascii="仿宋_GB2312" w:hAnsi="仿宋_GB2312" w:cs="仿宋_GB2312" w:eastAsia="仿宋_GB2312"/>
        </w:rPr>
        <w:t>三原县住房和城乡建设局</w:t>
      </w:r>
      <w:r>
        <w:rPr>
          <w:rFonts w:ascii="仿宋_GB2312" w:hAnsi="仿宋_GB2312" w:cs="仿宋_GB2312" w:eastAsia="仿宋_GB2312"/>
        </w:rPr>
        <w:t>委托，拟对</w:t>
      </w:r>
      <w:r>
        <w:rPr>
          <w:rFonts w:ascii="仿宋_GB2312" w:hAnsi="仿宋_GB2312" w:cs="仿宋_GB2312" w:eastAsia="仿宋_GB2312"/>
        </w:rPr>
        <w:t>陵前镇、渠岸镇污水处理厂双回路供电改造项目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ZZDY-2026-011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陵前镇、渠岸镇污水处理厂双回路供电改造项目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陵前镇、渠岸镇污水处理厂双回路供电改造项目，主要建设内容包括：新建400KVA 10KV箱式变电站、架空配线、电线杆、接地、箱变基础、新建10KV柱上变压器成套设备等。具体内容详见磋商文件、工程量清单及图纸范围内的全部工作内容。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采购包1（陵前镇、渠岸镇污水处理厂双回路供电改造项目）：属于专门面向中小企业采购。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1、营业执照及主体资格：具有独立承担民事责任能力的法人、其他组织或自然人，并出具合法有效的营业执照或事业单位法人证书等国家规定的相关证明，自然人参与的提供其身份证明；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2、法定代表人授权委托书：法定代表人委托代理人参加投标时，应提供法定代表人授权委托书；法定代表人亲自参加投标时，应提供法定代表人身份证明书；</w:t>
      </w:r>
    </w:p>
    <w:p>
      <w:pPr>
        <w:pStyle w:val="null3"/>
      </w:pPr>
      <w:r>
        <w:rPr>
          <w:rFonts w:ascii="仿宋_GB2312" w:hAnsi="仿宋_GB2312" w:cs="仿宋_GB2312" w:eastAsia="仿宋_GB2312"/>
        </w:rPr>
        <w:t>3、财务状况报告：提供会计师事务所出具的完整的2023年或2024年或2025年度审计报告（成立时间至提交响应文件截止时间不足一年的可提供成立后任意时段的资产负债表），或提交响应文件截止时间前六个月内银行出具的资信证明（以上形式的资料提供任何一种即可）；其他组织提供银行出具的资信证明或财务报表；</w:t>
      </w:r>
    </w:p>
    <w:p>
      <w:pPr>
        <w:pStyle w:val="null3"/>
      </w:pPr>
      <w:r>
        <w:rPr>
          <w:rFonts w:ascii="仿宋_GB2312" w:hAnsi="仿宋_GB2312" w:cs="仿宋_GB2312" w:eastAsia="仿宋_GB2312"/>
        </w:rPr>
        <w:t>4、税收缴纳证明：提供2025年1月至今已缴纳的至少一个月的纳税证明或完税证明（时间以税款所属日期为准），依法免税的单位应提供相关证明材料；</w:t>
      </w:r>
    </w:p>
    <w:p>
      <w:pPr>
        <w:pStyle w:val="null3"/>
      </w:pPr>
      <w:r>
        <w:rPr>
          <w:rFonts w:ascii="仿宋_GB2312" w:hAnsi="仿宋_GB2312" w:cs="仿宋_GB2312" w:eastAsia="仿宋_GB2312"/>
        </w:rPr>
        <w:t>5、社会保障资金缴纳证明：提供2025年1月至今已缴存的至少一个月的社会保障资金缴存单据或社保机构开具的社会保险参保缴费情况证明，依法不需要缴纳社会保障资金的单位应提供相关证明材料；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6、书面声明：参加政府采购活动前三年内在经营活动中没有重大违法记录的书面声明；具有履行合同所必须的设备和专业技术能力的书面声明；</w:t>
      </w:r>
    </w:p>
    <w:p>
      <w:pPr>
        <w:pStyle w:val="null3"/>
      </w:pPr>
      <w:r>
        <w:rPr>
          <w:rFonts w:ascii="仿宋_GB2312" w:hAnsi="仿宋_GB2312" w:cs="仿宋_GB2312" w:eastAsia="仿宋_GB2312"/>
        </w:rPr>
        <w:t>7、信用：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8、控股管理关系：供应商负责人不得为同一人或者存在控股、管理关系；</w:t>
      </w:r>
    </w:p>
    <w:p>
      <w:pPr>
        <w:pStyle w:val="null3"/>
      </w:pPr>
      <w:r>
        <w:rPr>
          <w:rFonts w:ascii="仿宋_GB2312" w:hAnsi="仿宋_GB2312" w:cs="仿宋_GB2312" w:eastAsia="仿宋_GB2312"/>
        </w:rPr>
        <w:t>9、非联合体：本项目不接受联合体，供应商需在项目电子化交易系统中按要求上传相应证明文件并进行电子签章；</w:t>
      </w:r>
    </w:p>
    <w:p>
      <w:pPr>
        <w:pStyle w:val="null3"/>
      </w:pPr>
      <w:r>
        <w:rPr>
          <w:rFonts w:ascii="仿宋_GB2312" w:hAnsi="仿宋_GB2312" w:cs="仿宋_GB2312" w:eastAsia="仿宋_GB2312"/>
        </w:rPr>
        <w:t>10、企业资质：具备行政主管部门颁发的电力工程施工总承包三级及以上资质或输变电工程专业承包三级及以上资质，并且具备国家能源局（或原电监会）颁发的承装（修、试）电力设施许可证五级及以上资质，具备有效的安全生产许可证；</w:t>
      </w:r>
    </w:p>
    <w:p>
      <w:pPr>
        <w:pStyle w:val="null3"/>
      </w:pPr>
      <w:r>
        <w:rPr>
          <w:rFonts w:ascii="仿宋_GB2312" w:hAnsi="仿宋_GB2312" w:cs="仿宋_GB2312" w:eastAsia="仿宋_GB2312"/>
        </w:rPr>
        <w:t>11、项目经理：拟派项目经理须具备注册在本企业的机电工程专业二级及以上注册建造师执业资格，具备有效的安全生产考核合格证书B 证（建安 B 证），在本单位注册且无在建项目；</w:t>
      </w:r>
    </w:p>
    <w:p>
      <w:pPr>
        <w:pStyle w:val="null3"/>
      </w:pPr>
      <w:r>
        <w:rPr>
          <w:rFonts w:ascii="仿宋_GB2312" w:hAnsi="仿宋_GB2312" w:cs="仿宋_GB2312" w:eastAsia="仿宋_GB2312"/>
        </w:rPr>
        <w:t>12、落实政府采购政策需满足的资格要求：本项目专门面向中小企业，（提供中小企业声明函或残疾人福利性单位声明函或监狱企业的证明文件）。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三原县住房和城乡建设局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15091103389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陕西中正鼎裕项目管理有限公司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陕西省西安市科技路48号创业广场B座1506室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13572898653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采购包1：1,535,746.96元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是</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代理服务费收费标准：参照国家计委颁布的《招标代理服务收费管理暂行办法》（计价格【2002】1980号）、发改价格【2015】299号文及发改价格【2011】534号文的收费标准计取。 成交供应商服务费交纳信息： 银行户名：陕西中正鼎裕项目管理有限公司 开户行名称：兴业银行股份有限公司西安分行营业部 账 号：456010100100956535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三原县住房和城乡建设局</w:t>
      </w:r>
      <w:r>
        <w:rPr>
          <w:rFonts w:ascii="仿宋_GB2312" w:hAnsi="仿宋_GB2312" w:cs="仿宋_GB2312" w:eastAsia="仿宋_GB2312"/>
        </w:rPr>
        <w:t>和</w:t>
      </w:r>
      <w:r>
        <w:rPr>
          <w:rFonts w:ascii="仿宋_GB2312" w:hAnsi="仿宋_GB2312" w:cs="仿宋_GB2312" w:eastAsia="仿宋_GB2312"/>
        </w:rPr>
        <w:t>陕西中正鼎裕项目管理有限公司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陕西中正鼎裕项目管理有限公司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陕西中正鼎裕项目管理有限公司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符合国家及行业相关标准、规范及采购人要求。工程质量执行现行结构设计加固及电气专业相关规范：GB 50053-2013《10kV 及以下变电所设计规范》、GB 50303-2015《建筑电气工程施工质量验收规范》、GB 50052-2022《供配电系统设计规范》、GB 50173-2014《电气装置安装工程 66kV 及以下架空电力线路施工及验收规范》、DL/T 5220-2021《架空输电线路施工及验收规程》等标准的全部规定。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联系人：闫女士</w:t>
      </w:r>
    </w:p>
    <w:p>
      <w:pPr>
        <w:pStyle w:val="null3"/>
      </w:pPr>
      <w:r>
        <w:rPr>
          <w:rFonts w:ascii="仿宋_GB2312" w:hAnsi="仿宋_GB2312" w:cs="仿宋_GB2312" w:eastAsia="仿宋_GB2312"/>
        </w:rPr>
        <w:t>联系电话：13572898653</w:t>
      </w:r>
    </w:p>
    <w:p>
      <w:pPr>
        <w:pStyle w:val="null3"/>
      </w:pPr>
      <w:r>
        <w:rPr>
          <w:rFonts w:ascii="仿宋_GB2312" w:hAnsi="仿宋_GB2312" w:cs="仿宋_GB2312" w:eastAsia="仿宋_GB2312"/>
        </w:rPr>
        <w:t>地址：陕西省西安市科技路48号创业广场B座1506室</w:t>
      </w:r>
    </w:p>
    <w:p>
      <w:pPr>
        <w:pStyle w:val="null3"/>
      </w:pPr>
      <w:r>
        <w:rPr>
          <w:rFonts w:ascii="仿宋_GB2312" w:hAnsi="仿宋_GB2312" w:cs="仿宋_GB2312" w:eastAsia="仿宋_GB2312"/>
        </w:rPr>
        <w:t>邮编：71000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1,535,746.96</w:t>
      </w:r>
    </w:p>
    <w:p>
      <w:pPr>
        <w:pStyle w:val="null3"/>
      </w:pPr>
      <w:r>
        <w:rPr>
          <w:rFonts w:ascii="仿宋_GB2312" w:hAnsi="仿宋_GB2312" w:cs="仿宋_GB2312" w:eastAsia="仿宋_GB2312"/>
        </w:rPr>
        <w:t>采购包最高限价（元）: 1,535,746.96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陵前镇渠岸镇污水处理厂双回路供电改造项目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1,535,746.96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标的名称：陵前镇渠岸镇污水处理厂双回路供电改造项目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rPr>
              <w:t>详见工程量清单及图纸。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 国家或行业主管部门对采购产品的技术标准、质量标准有强制性规定的，供应商所投采购标的（产品及相关服务）须严格符合该等强制性要求，确保标的性能、质量达标。 2. 施工期间，供应商须配备符合本项目的专业人员（包括但不限于项目经理、技术负责人、施工员、安全员等），规范开展施工组织工作，严格落实安全文明施工及环境保护相关要求；严格按照安全操作规程组织施工，杜绝各类伤亡事故发生，保障采购标的施工过程中的安全；同时采取有效措施防止噪音污染、扬尘污染、水源污染，及时清理施工现场垃圾，保障施工区域道路通行顺畅，确保施工环节符合标的质量相关要求。 3. 供应商在采购标的实施全过程对自身人员及施工安全负责，制定完善的安全保障措施；采取有效防护措施保护采购标的（产品）免受震动、挤压、潮湿等物理损伤，确保标的外观、结构完好；选用足够坚固、结构设计合理的包装材料，保障产品在运输、存储过程中不受损耗，确保标的质量达标。 4. 本项目涉及的采购标的技术标准、施工技术规范、企业技术资质、产品认证、人员执业资格等相关描述，若与国家及陕西省最新相关要求不一致的，一律以国家及陕西省最新要求为准，确保标的功能、质量符合最新规范。</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1、工期：自合同签定之日起30日历天。 2、履约地点：采购人指定地点。 3、质保期：自项目竣工验收合格之日起质保期为 2 年，若国家或行业另有更高标准及规定的，从其规定。质保期内，凡属正常使用范围内产生的非人为故意损坏，由供应商提供免费维修、免费更换服务。质保期间系统发生故障的，供应商须2小时内响应、12小时内抵达现场、48小时内处置并解决故障问题。 4、资金来源: 资金由运营单位(陕西水务发展集团三原县环保有限公司)以自有资金先行垫付工程款,待预算下达后由采购人按月分期向运营单位(陕西水务发展集团三原县环保有限公司)归还垫付资金。 5、支付约定：合同签订生效后支付预付款 ，达到付款条件起 10 日内，支付合同总金额的 40% ；履约验收合格后 ，达到付款条件起 10 日内，支付合同总金额的 30%；工程决算审计后，达到付款条件起 10 日内，支付合同总金额的 27%；待质保期满后 ，达到付款条件起 10 日内，支付合同总金额的 3%。 6、履约验收：项目按照计划施工完成后，供应商提出验收申请之日起7日内，由采购人组建验收小组，按磋商文件、响应文件、施工合同约定，以及国家、行业现行规范和采购人要求进行验收。工程质量执行现行结构设计加固及电气专业相关规范：GB 50053-2013《10kV 及以下变电所设计规范》、GB 50303-2015《建筑电气工程施工质量验收规范》、GB 50052-2022《供配电系统设计规范》、GB 50173-2014《电气装置安装工程 66kV 及以下架空电力线路施工及验收规范》、DL/T 5220-2021《架空输电线路施工及验收规程》等标准的全部规定。 7、售后服务:确保售后服务团队具备相应的专业知识和实操技能，能够提供高质量的服务支持；接到采购人服务请求后，须在2小时内做出响应，12小时内抵达故障现场，实行24小时维修服务及7×24小时热线值守，全力解决采购标的使用及服务过程中出现的各类问题；若问题无法立即解决，须持续与采购人保持沟通，及时提供临时解决方案或替代方案，同时在售后服务期间定期开展采购标的使用巡检，并提供后续专业技术指导，保障售后服务达标。 8、获取项目图纸: 获取时间：工作日9:00-17:00 ，获取方式：联系项目经办人员向其指定的邮箱421701384@qq.com发送单位介绍信扫描件，并预留联系人、联系方式、项目名称等必要信息，免费索取。 9、成交人（中标人）在领取中标通知书前将纸质版响应文件正本1份、副本1份打印盖章提交至招标代理公司处（陕西省西安市高新区科技路48号创业广场B座1506室），以便采购人进行留存备案等工作。纸质响应文件一律采用书籍（胶装）方式装订、鼓励双面打印。 10、根据《陕西省财政厅关于持续优化政府采购营商环境有关事项的通知》（陕财办采〔2024〕9 号）文规定，采购人要在中标（成交）通知书发出之日起 25 日内，按照采购文件确定的事项与中标（成交）供应商签订政府采购合同，不得以自身原因拖延；因不可抗力迟延的，须在不可抗力消除后 7 日内完成签约。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会计师事务所出具的完整的2023年或2024年或2025年度审计报告（成立时间至提交响应文件截止时间不足一年的可提供成立后任意时段的资产负债表），或提交响应文件截止时间前六个月内银行出具的资信证明（以上形式的资料提供任何一种即可）；其他组织提供银行出具的资信证明或财务报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营业执照及主体资格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法定代表人委托代理人参加投标时，应提供法定代表人授权委托书；法定代表人亲自参加投标时，应提供法定代表人身份证明书；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会计师事务所出具的完整的2023年或2024年或2025年度审计报告（成立时间至提交响应文件截止时间不足一年的可提供成立后任意时段的资产负债表），或提交响应文件截止时间前六个月内银行出具的资信证明（以上形式的资料提供任何一种即可）；其他组织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提供2025年1月至今已缴纳的至少一个月的纳税证明或完税证明（时间以税款所属日期为准），依法免税的单位应提供相关证明材料；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参加政府采购活动前三年内在经营活动中没有重大违法记录的书面声明；具有履行合同所必须的设备和专业技术能力的书面声明；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供应商负责人不得为同一人或者存在控股、管理关系；</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行政主管部门颁发的电力工程施工总承包三级及以上资质或输变电工程专业承包三级及以上资质，并且具备国家能源局（或原电监会）颁发的承装（修、试）电力设施许可证五级及以上资质，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拟派项目经理须具备注册在本企业的机电工程专业二级及以上注册建造师执业资格，具备有效的安全生产考核合格证书B 证（建安 B 证），在本单位注册且无在建项目；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本项目专门面向中小企业，（提供中小企业声明函或残疾人福利性单位声明函或监狱企业的证明文件）。</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供应商名称与响应文件封面、投标函等证明材料是否一致。</w:t>
            </w:r>
          </w:p>
        </w:tc>
        <w:tc>
          <w:tcPr>
            <w:tcW w:type="dxa" w:w="1661"/>
          </w:tcPr>
          <w:p>
            <w:pPr>
              <w:pStyle w:val="null3"/>
            </w:pPr>
            <w:r>
              <w:rPr>
                <w:rFonts w:ascii="仿宋_GB2312" w:hAnsi="仿宋_GB2312" w:cs="仿宋_GB2312" w:eastAsia="仿宋_GB2312"/>
              </w:rPr>
              <w:t>响应文件封面 已标价工程量清单 技术、服务、商务及其他要求响应偏离表-.docx 中小企业声明函 残疾人福利性单位声明函 报价函 磋商实施方案-.docx 标的清单 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1）.响应文件是否按照磋商文件要求的格式编写； 2）.响应文件内容是否有重大缺漏项。</w:t>
            </w:r>
          </w:p>
        </w:tc>
        <w:tc>
          <w:tcPr>
            <w:tcW w:type="dxa" w:w="1661"/>
          </w:tcPr>
          <w:p>
            <w:pPr>
              <w:pStyle w:val="null3"/>
            </w:pPr>
            <w:r>
              <w:rPr>
                <w:rFonts w:ascii="仿宋_GB2312" w:hAnsi="仿宋_GB2312" w:cs="仿宋_GB2312" w:eastAsia="仿宋_GB2312"/>
              </w:rPr>
              <w:t>响应文件封面 已标价工程量清单 技术、服务、商务及其他要求响应偏离表-.docx 中小企业声明函 残疾人福利性单位声明函 报价函 磋商实施方案-.docx 标的清单 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已标价工程量清单 技术、服务、商务及其他要求响应偏离表-.docx 中小企业声明函 残疾人福利性单位声明函 报价函 磋商实施方案-.docx 标的清单 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1）.投标报价是否超过最高限价； 2）.投标报价有效期是否符合磋商文件的要求； 3）.对磋商文件中规定的要求是否做出了实质性响应； 4）.响应文件内容是否符合国家法律法规，没有重大偏离。</w:t>
            </w:r>
          </w:p>
        </w:tc>
        <w:tc>
          <w:tcPr>
            <w:tcW w:type="dxa" w:w="1661"/>
          </w:tcPr>
          <w:p>
            <w:pPr>
              <w:pStyle w:val="null3"/>
            </w:pPr>
            <w:r>
              <w:rPr>
                <w:rFonts w:ascii="仿宋_GB2312" w:hAnsi="仿宋_GB2312" w:cs="仿宋_GB2312" w:eastAsia="仿宋_GB2312"/>
              </w:rPr>
              <w:t>响应文件封面 已标价工程量清单 技术、服务、商务及其他要求响应偏离表-.docx 中小企业声明函 残疾人福利性单位声明函 报价函 磋商实施方案-.docx 标的清单 资格证明文件-.docx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供应商针对本项目编制完善的施工方案，内容包含但不限于：①施工总体部署；②施工次序；③箱变基础、电线杆土建施工工艺；④施工进度计划安排；⑤劳动力安排计划；⑥现场安全文明施工、环境保护措施。 评审标准：以上内容完整得30分，每缺漏一项扣5分，每有一处内容缺陷扣0.5分（内容缺陷是指项目名称错误/语句不通顺或有歧义/方案内容前后交叉混乱/涉及的规范或标准错误/地点区域错误/仅有框架或标题）或与本项目不相适应（不相适应是指描述中存在其他项目/其他采购人/其他供应商的信息/存在与本项目无关的内容/存在不适用项目实际情况的情形），直至本项分值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技术、服务、商务及其他要求响应偏离表-.docx</w:t>
            </w:r>
          </w:p>
          <w:p>
            <w:pPr>
              <w:pStyle w:val="null3"/>
            </w:pPr>
            <w:r>
              <w:rPr>
                <w:rFonts w:ascii="仿宋_GB2312" w:hAnsi="仿宋_GB2312" w:cs="仿宋_GB2312" w:eastAsia="仿宋_GB2312"/>
              </w:rPr>
              <w:t>磋商实施方案-.docx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供应商针对本项目编制完善的安装调试方案,包括但不限于：①安装调试安排；②设备绝缘、接地、耐压专项实验；③双回路供电系统整体调试与试运行。评审标准：以上内容完整得6分，每缺漏一项扣2分，每有一处内容缺陷扣0.5分（内容缺陷是指：内容不详细具体、条理不清晰、描述过于简单、与项目特点不匹配、凭空编造、出现常识性错误、不可能实现的夸大情形、存在不适用项目实际情况的情形），直至本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磋商实施方案-.docx</w:t>
            </w:r>
          </w:p>
          <w:p>
            <w:pPr>
              <w:pStyle w:val="null3"/>
            </w:pPr>
            <w:r>
              <w:rPr>
                <w:rFonts w:ascii="仿宋_GB2312" w:hAnsi="仿宋_GB2312" w:cs="仿宋_GB2312" w:eastAsia="仿宋_GB2312"/>
              </w:rPr>
              <w:t>技术、服务、商务及其他要求响应偏离表-.docx</w:t>
            </w:r>
          </w:p>
        </w:tc>
      </w:tr>
      <w:tr>
        <w:tc>
          <w:tcPr>
            <w:tcW w:type="dxa" w:w="831"/>
            <w:vMerge/>
          </w:tcPr>
          <w:p/>
        </w:tc>
        <w:tc>
          <w:tcPr>
            <w:tcW w:type="dxa" w:w="1661"/>
          </w:tcPr>
          <w:p>
            <w:pPr>
              <w:pStyle w:val="null3"/>
            </w:pPr>
            <w:r>
              <w:rPr>
                <w:rFonts w:ascii="仿宋_GB2312" w:hAnsi="仿宋_GB2312" w:cs="仿宋_GB2312" w:eastAsia="仿宋_GB2312"/>
              </w:rPr>
              <w:t>工程质量保证</w:t>
            </w:r>
          </w:p>
        </w:tc>
        <w:tc>
          <w:tcPr>
            <w:tcW w:type="dxa" w:w="2492"/>
          </w:tcPr>
          <w:p>
            <w:pPr>
              <w:pStyle w:val="null3"/>
            </w:pPr>
            <w:r>
              <w:rPr>
                <w:rFonts w:ascii="仿宋_GB2312" w:hAnsi="仿宋_GB2312" w:cs="仿宋_GB2312" w:eastAsia="仿宋_GB2312"/>
              </w:rPr>
              <w:t>供应商针对本项目编制完善的工程质量保证,内容包括但不限于:①原材料、设备进场检验与质量控制；②关键工序全过程质量管控措施；③隐蔽工程验收及过程监测管控；④货物的来源、包装、保存、运输各环节的质量保障等。评审标准：以上内容完整得8分，每缺漏一项扣2分，每有一处内容缺陷扣0.5分（内容缺陷是指：内容不详细具体、条理不清晰、描述过于简单、与项目特点不匹配、凭空编造、出现常识性错误、不可能实现的夸大情形、存在不适用项目实际情况的情形），直至本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磋商实施方案-.docx</w:t>
            </w:r>
          </w:p>
          <w:p>
            <w:pPr>
              <w:pStyle w:val="null3"/>
            </w:pPr>
            <w:r>
              <w:rPr>
                <w:rFonts w:ascii="仿宋_GB2312" w:hAnsi="仿宋_GB2312" w:cs="仿宋_GB2312" w:eastAsia="仿宋_GB2312"/>
              </w:rPr>
              <w:t>技术、服务、商务及其他要求响应偏离表-.docx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编制完善的培训方案,包括但不限于：①培训形式；②设备基础原理及结构认知培训；③现场安全及日常维护保养；④常规故障识别与简单处置培训。评审标准：以上内容完整得8分，每缺漏一项扣2分，每有一处内容缺陷扣0.5分（内容缺陷是指：内容不详细具体、条理不清晰、描述过于简单、与项目特点不匹配、凭空编造、出现常识性错误、不可能实现的夸大情形、存在不适用项目实际情况的情形），直至本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磋商实施方案-.docx</w:t>
            </w:r>
          </w:p>
          <w:p>
            <w:pPr>
              <w:pStyle w:val="null3"/>
            </w:pPr>
            <w:r>
              <w:rPr>
                <w:rFonts w:ascii="仿宋_GB2312" w:hAnsi="仿宋_GB2312" w:cs="仿宋_GB2312" w:eastAsia="仿宋_GB2312"/>
              </w:rPr>
              <w:t>技术、服务、商务及其他要求响应偏离表-.docx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供应商针对本项目编制完善的项目组织机构，内容包含但不限于：①项目成员配置结构；②专业素质；③岗位职责。 评审标准：以上内容完整得9分，每缺漏一项扣3分，每有一处内容缺陷扣0.5分（内容缺陷是指：内容不详细具体、条理不清晰、描述过于简单、与项目特点不匹配、凭空编造、出现常识性错误、不可能实现的夸大情形、存在不适用项目实际情况的情形），直至本项分值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技术、服务、商务及其他要求响应偏离表-.docx</w:t>
            </w:r>
          </w:p>
          <w:p>
            <w:pPr>
              <w:pStyle w:val="null3"/>
            </w:pPr>
            <w:r>
              <w:rPr>
                <w:rFonts w:ascii="仿宋_GB2312" w:hAnsi="仿宋_GB2312" w:cs="仿宋_GB2312" w:eastAsia="仿宋_GB2312"/>
              </w:rPr>
              <w:t>磋商实施方案-.docx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供应商根据项目采购需求，结合自身实际情况拟定针对本项目的售后服务方案：①售后服务机构； ②售后服务保障措施（包含售后保障措施、对产品巡查维护方案、故障处理机制）； ③质保期后的零配件供应价格情况和有偿维修服务方案。评审标准：以上内容完整得6分，每缺漏一项扣2分，每有一处内容缺陷扣0.5分（内容缺陷是指：内容不详细具体、条理不清晰、描述过于简单、与项目特点不匹配、凭空编造、出现常识性错误、不可能实现的夸大情形、存在不适用项目实际情况的情形），直至本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磋商实施方案-.docx</w:t>
            </w:r>
          </w:p>
          <w:p>
            <w:pPr>
              <w:pStyle w:val="null3"/>
            </w:pPr>
            <w:r>
              <w:rPr>
                <w:rFonts w:ascii="仿宋_GB2312" w:hAnsi="仿宋_GB2312" w:cs="仿宋_GB2312" w:eastAsia="仿宋_GB2312"/>
              </w:rPr>
              <w:t>技术、服务、商务及其他要求响应偏离表-.docx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供应商自2022年1月1日（含当日）以来，具有一个类似项目业绩得1.5分，本项最多得3分。 注：提供合同协议书（以签订时间为准）或中标/成交通知书（以落款时间为准）复印件并加盖供应商公章。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磋商实施方案-.docx</w:t>
            </w:r>
          </w:p>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详见附件：拟签订施工合同-供电改造.docx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