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版本号：DRZB2026-ZC-12820260527001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省交通监测调度平台维护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DRZB2026-ZC-128</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省交通监测调度平台维护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省交通监测调度平台维护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省交通监测调度平台维护，具体内容详见磋商文件及采购需求。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采购包1（省交通监测调度平台维护）：属于专门面向中小企业采购。</w:t>
      </w:r>
    </w:p>
    <w:p>
      <w:pPr>
        <w:pStyle w:val="null3"/>
      </w:pPr>
      <w:r>
        <w:rPr>
          <w:rFonts w:ascii="仿宋_GB2312" w:hAnsi="仿宋_GB2312" w:cs="仿宋_GB2312" w:eastAsia="仿宋_GB2312"/>
        </w:rPr>
        <w:t>采购包2（通信调度及视频整合系统维护）：属于专门面向中小企业采购。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采购包1：593,776.00元</w:t>
            </w:r>
          </w:p>
          <w:p>
            <w:pPr>
              <w:pStyle w:val="null3"/>
            </w:pPr>
            <w:r>
              <w:rPr>
                <w:rFonts w:ascii="仿宋_GB2312" w:hAnsi="仿宋_GB2312" w:cs="仿宋_GB2312" w:eastAsia="仿宋_GB2312"/>
              </w:rPr>
              <w:t>采购包2：279,424.00元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采购包1保证金金额：11,128.00元</w:t>
            </w:r>
          </w:p>
          <w:p>
            <w:pPr>
              <w:pStyle w:val="null3"/>
            </w:pPr>
            <w:r>
              <w:rPr>
                <w:rFonts w:ascii="仿宋_GB2312" w:hAnsi="仿宋_GB2312" w:cs="仿宋_GB2312" w:eastAsia="仿宋_GB2312"/>
              </w:rPr>
              <w:t>采购包2保证金金额：5,128.00元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按照“服务类”项目的取费标准，具体费率：100万元以下，按照1.5%计取，本项目代理费下浮10%。如单个包招标代理服务费不足叁仟元按照叁仟元收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省交通监测调度平台维护，具体内容详见磋商文件及采购需求。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593,776.00</w:t>
      </w:r>
    </w:p>
    <w:p>
      <w:pPr>
        <w:pStyle w:val="null3"/>
      </w:pPr>
      <w:r>
        <w:rPr>
          <w:rFonts w:ascii="仿宋_GB2312" w:hAnsi="仿宋_GB2312" w:cs="仿宋_GB2312" w:eastAsia="仿宋_GB2312"/>
        </w:rPr>
        <w:t>采购包最高限价（元）: 593,776.00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省交通监测调度平台维护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593,776.00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279,424.00</w:t>
      </w:r>
    </w:p>
    <w:p>
      <w:pPr>
        <w:pStyle w:val="null3"/>
      </w:pPr>
      <w:r>
        <w:rPr>
          <w:rFonts w:ascii="仿宋_GB2312" w:hAnsi="仿宋_GB2312" w:cs="仿宋_GB2312" w:eastAsia="仿宋_GB2312"/>
        </w:rPr>
        <w:t>采购包最高限价（元）: 279,424.00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通信调度及视频整合系统维护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279,424.00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标的名称：省交通监测调度平台维护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一、主要目标</w:t>
            </w:r>
          </w:p>
          <w:p>
            <w:pPr>
              <w:pStyle w:val="null3"/>
            </w:pPr>
            <w:r>
              <w:rPr>
                <w:rFonts w:ascii="仿宋_GB2312" w:hAnsi="仿宋_GB2312" w:cs="仿宋_GB2312" w:eastAsia="仿宋_GB2312"/>
              </w:rPr>
              <w:t>承担陕西省交通运行监测调度平台运维服务。确保省交通监测调度平台稳定、可靠、持续运行，支撑全省交通运行监测与应急通信调度工作。</w:t>
            </w:r>
          </w:p>
          <w:p>
            <w:pPr>
              <w:pStyle w:val="null3"/>
            </w:pPr>
            <w:r>
              <w:rPr>
                <w:rFonts w:ascii="仿宋_GB2312" w:hAnsi="仿宋_GB2312" w:cs="仿宋_GB2312" w:eastAsia="仿宋_GB2312"/>
              </w:rPr>
              <w:t>二、安全保密</w:t>
            </w:r>
          </w:p>
          <w:p>
            <w:pPr>
              <w:pStyle w:val="null3"/>
            </w:pPr>
            <w:r>
              <w:rPr>
                <w:rFonts w:ascii="仿宋_GB2312" w:hAnsi="仿宋_GB2312" w:cs="仿宋_GB2312" w:eastAsia="仿宋_GB2312"/>
              </w:rPr>
              <w:t>1.增强人员安全意识，严格按照相关规定流程操作。</w:t>
            </w:r>
          </w:p>
          <w:p>
            <w:pPr>
              <w:pStyle w:val="null3"/>
            </w:pPr>
            <w:r>
              <w:rPr>
                <w:rFonts w:ascii="仿宋_GB2312" w:hAnsi="仿宋_GB2312" w:cs="仿宋_GB2312" w:eastAsia="仿宋_GB2312"/>
              </w:rPr>
              <w:t>2.签订《省交通监测调度平台维护保密协议》，确保信息安全。</w:t>
            </w:r>
          </w:p>
          <w:p>
            <w:pPr>
              <w:pStyle w:val="null3"/>
            </w:pPr>
            <w:r>
              <w:rPr>
                <w:rFonts w:ascii="仿宋_GB2312" w:hAnsi="仿宋_GB2312" w:cs="仿宋_GB2312" w:eastAsia="仿宋_GB2312"/>
              </w:rPr>
              <w:t>三、省交通监测调度平台维护</w:t>
            </w:r>
          </w:p>
          <w:p>
            <w:pPr>
              <w:pStyle w:val="null3"/>
            </w:pPr>
            <w:r>
              <w:rPr>
                <w:rFonts w:ascii="仿宋_GB2312" w:hAnsi="仿宋_GB2312" w:cs="仿宋_GB2312" w:eastAsia="仿宋_GB2312"/>
              </w:rPr>
              <w:t>1.主要目标</w:t>
            </w:r>
          </w:p>
          <w:p>
            <w:pPr>
              <w:pStyle w:val="null3"/>
            </w:pPr>
            <w:r>
              <w:rPr>
                <w:rFonts w:ascii="仿宋_GB2312" w:hAnsi="仿宋_GB2312" w:cs="仿宋_GB2312" w:eastAsia="仿宋_GB2312"/>
              </w:rPr>
              <w:t>承担陕西省交通运行监测调度平台运维服务，通过持续优化完善系统功能，确保平台中数据展示、公路运行管理、道路运输运行管理、水路运行管理、应急指挥、交通安全生产综合监管、统计分析等子系统，以及历年运维中新增功能、电子地图、远程桌面、接口、中间件等稳定、可靠、持续运行，支撑全省交通运行监测调度工作。</w:t>
            </w:r>
          </w:p>
          <w:p>
            <w:pPr>
              <w:pStyle w:val="null3"/>
            </w:pPr>
            <w:r>
              <w:rPr>
                <w:rFonts w:ascii="仿宋_GB2312" w:hAnsi="仿宋_GB2312" w:cs="仿宋_GB2312" w:eastAsia="仿宋_GB2312"/>
              </w:rPr>
              <w:t>2.维护清单</w:t>
            </w:r>
          </w:p>
          <w:p>
            <w:pPr>
              <w:pStyle w:val="null3"/>
            </w:pPr>
            <w:r>
              <w:rPr>
                <w:rFonts w:ascii="仿宋_GB2312" w:hAnsi="仿宋_GB2312" w:cs="仿宋_GB2312" w:eastAsia="仿宋_GB2312"/>
              </w:rPr>
              <w:t>（1）软件维护清单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子系统</w:t>
                  </w:r>
                </w:p>
              </w:tc>
              <w:tc>
                <w:tcPr>
                  <w:tcW w:type="dxa" w:w="638"/>
                </w:tcPr>
                <w:p>
                  <w:pPr>
                    <w:pStyle w:val="null3"/>
                  </w:pPr>
                  <w:r>
                    <w:rPr>
                      <w:rFonts w:ascii="仿宋_GB2312" w:hAnsi="仿宋_GB2312" w:cs="仿宋_GB2312" w:eastAsia="仿宋_GB2312"/>
                    </w:rPr>
                    <w:t>功能模块</w:t>
                  </w:r>
                </w:p>
              </w:tc>
              <w:tc>
                <w:tcPr>
                  <w:tcW w:type="dxa" w:w="638"/>
                </w:tcPr>
                <w:p>
                  <w:pPr>
                    <w:pStyle w:val="null3"/>
                  </w:pPr>
                  <w:r>
                    <w:rPr>
                      <w:rFonts w:ascii="仿宋_GB2312" w:hAnsi="仿宋_GB2312" w:cs="仿宋_GB2312" w:eastAsia="仿宋_GB2312"/>
                    </w:rPr>
                    <w:t>数量（套）</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应急指挥系统</w:t>
                  </w:r>
                </w:p>
              </w:tc>
              <w:tc>
                <w:tcPr>
                  <w:tcW w:type="dxa" w:w="638"/>
                </w:tcPr>
                <w:p>
                  <w:pPr>
                    <w:pStyle w:val="null3"/>
                  </w:pPr>
                  <w:r>
                    <w:rPr>
                      <w:rFonts w:ascii="仿宋_GB2312" w:hAnsi="仿宋_GB2312" w:cs="仿宋_GB2312" w:eastAsia="仿宋_GB2312"/>
                    </w:rPr>
                    <w:t>应急值守、指挥调度、资源管理、信息发布、应急评估、培训演练。</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交通安全生产综合监管系统</w:t>
                  </w:r>
                </w:p>
              </w:tc>
              <w:tc>
                <w:tcPr>
                  <w:tcW w:type="dxa" w:w="638"/>
                </w:tcPr>
                <w:p>
                  <w:pPr>
                    <w:pStyle w:val="null3"/>
                  </w:pPr>
                  <w:r>
                    <w:rPr>
                      <w:rFonts w:ascii="仿宋_GB2312" w:hAnsi="仿宋_GB2312" w:cs="仿宋_GB2312" w:eastAsia="仿宋_GB2312"/>
                    </w:rPr>
                    <w:t>人员机构、基础信息、平安工地、评分列表、风险关注点、事故推送。</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道路运输运行管理系统</w:t>
                  </w:r>
                </w:p>
              </w:tc>
              <w:tc>
                <w:tcPr>
                  <w:tcW w:type="dxa" w:w="638"/>
                </w:tcPr>
                <w:p>
                  <w:pPr>
                    <w:pStyle w:val="null3"/>
                  </w:pPr>
                  <w:r>
                    <w:rPr>
                      <w:rFonts w:ascii="仿宋_GB2312" w:hAnsi="仿宋_GB2312" w:cs="仿宋_GB2312" w:eastAsia="仿宋_GB2312"/>
                    </w:rPr>
                    <w:t>首页数据展示、客运站、重点车辆、运政执法、城市客运、基础信息。</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公路运行管理系统</w:t>
                  </w:r>
                </w:p>
              </w:tc>
              <w:tc>
                <w:tcPr>
                  <w:tcW w:type="dxa" w:w="638"/>
                </w:tcPr>
                <w:p>
                  <w:pPr>
                    <w:pStyle w:val="null3"/>
                  </w:pPr>
                  <w:r>
                    <w:rPr>
                      <w:rFonts w:ascii="仿宋_GB2312" w:hAnsi="仿宋_GB2312" w:cs="仿宋_GB2312" w:eastAsia="仿宋_GB2312"/>
                    </w:rPr>
                    <w:t>路网监测、基础设施监测、车辆监管、视频监控、统计分析。</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水路运行管理系统</w:t>
                  </w:r>
                </w:p>
              </w:tc>
              <w:tc>
                <w:tcPr>
                  <w:tcW w:type="dxa" w:w="638"/>
                </w:tcPr>
                <w:p>
                  <w:pPr>
                    <w:pStyle w:val="null3"/>
                  </w:pPr>
                  <w:r>
                    <w:rPr>
                      <w:rFonts w:ascii="仿宋_GB2312" w:hAnsi="仿宋_GB2312" w:cs="仿宋_GB2312" w:eastAsia="仿宋_GB2312"/>
                    </w:rPr>
                    <w:t>前端视频信息采集，对汉江流域重点水域、码头视频监控的全覆盖，提升水路交通安全动态监管、处置能力。</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行业通</w:t>
                  </w:r>
                </w:p>
              </w:tc>
              <w:tc>
                <w:tcPr>
                  <w:tcW w:type="dxa" w:w="638"/>
                </w:tcPr>
                <w:p>
                  <w:pPr>
                    <w:pStyle w:val="null3"/>
                  </w:pPr>
                  <w:r>
                    <w:rPr>
                      <w:rFonts w:ascii="仿宋_GB2312" w:hAnsi="仿宋_GB2312" w:cs="仿宋_GB2312" w:eastAsia="仿宋_GB2312"/>
                    </w:rPr>
                    <w:t>通知、文件的收发</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系统外部接口</w:t>
                  </w:r>
                </w:p>
              </w:tc>
              <w:tc>
                <w:tcPr>
                  <w:tcW w:type="dxa" w:w="638"/>
                </w:tcPr>
                <w:p>
                  <w:pPr>
                    <w:pStyle w:val="null3"/>
                  </w:pPr>
                  <w:r>
                    <w:rPr>
                      <w:rFonts w:ascii="仿宋_GB2312" w:hAnsi="仿宋_GB2312" w:cs="仿宋_GB2312" w:eastAsia="仿宋_GB2312"/>
                    </w:rPr>
                    <w:t>系统外部接口维护。</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支撑系统维护</w:t>
                  </w:r>
                </w:p>
              </w:tc>
              <w:tc>
                <w:tcPr>
                  <w:tcW w:type="dxa" w:w="638"/>
                </w:tcPr>
                <w:p>
                  <w:pPr>
                    <w:pStyle w:val="null3"/>
                  </w:pPr>
                  <w:r>
                    <w:rPr>
                      <w:rFonts w:ascii="仿宋_GB2312" w:hAnsi="仿宋_GB2312" w:cs="仿宋_GB2312" w:eastAsia="仿宋_GB2312"/>
                    </w:rPr>
                    <w:t>工作流、中间件等原有应用支撑系统维护。</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历年运维中新增功能维护</w:t>
                  </w:r>
                </w:p>
              </w:tc>
              <w:tc>
                <w:tcPr>
                  <w:tcW w:type="dxa" w:w="638"/>
                </w:tcPr>
                <w:p>
                  <w:pPr>
                    <w:pStyle w:val="null3"/>
                  </w:pPr>
                  <w:r>
                    <w:rPr>
                      <w:rFonts w:ascii="仿宋_GB2312" w:hAnsi="仿宋_GB2312" w:cs="仿宋_GB2312" w:eastAsia="仿宋_GB2312"/>
                    </w:rPr>
                    <w:t>系统历年维护中增加的数据可视化、统计分析系统等功能维护，包含2024年系统优化升级中行业通、远程桌面、综合展示等功能维护</w:t>
                  </w:r>
                </w:p>
              </w:tc>
              <w:tc>
                <w:tcPr>
                  <w:tcW w:type="dxa" w:w="638"/>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（2）日常维护服务</w:t>
            </w:r>
          </w:p>
          <w:p>
            <w:pPr>
              <w:pStyle w:val="null3"/>
            </w:pPr>
            <w:r>
              <w:rPr>
                <w:rFonts w:ascii="仿宋_GB2312" w:hAnsi="仿宋_GB2312" w:cs="仿宋_GB2312" w:eastAsia="仿宋_GB2312"/>
              </w:rPr>
              <w:t>①派驻具有一年以上软件运维工作经验的技术人员在工作日、重大节日和重大事件期间驻场保障，协助开展应急突发事项处置工作，为驻场技术维护岗设置双人A、B角色互为备份。</w:t>
            </w:r>
          </w:p>
          <w:p>
            <w:pPr>
              <w:pStyle w:val="null3"/>
            </w:pPr>
            <w:r>
              <w:rPr>
                <w:rFonts w:ascii="仿宋_GB2312" w:hAnsi="仿宋_GB2312" w:cs="仿宋_GB2312" w:eastAsia="仿宋_GB2312"/>
              </w:rPr>
              <w:t>②对数据库进行定期监控，发现问题及时报告，并协商解决，服务项目的运行性能监测。</w:t>
            </w:r>
          </w:p>
          <w:p>
            <w:pPr>
              <w:pStyle w:val="null3"/>
            </w:pPr>
            <w:r>
              <w:rPr>
                <w:rFonts w:ascii="仿宋_GB2312" w:hAnsi="仿宋_GB2312" w:cs="仿宋_GB2312" w:eastAsia="仿宋_GB2312"/>
              </w:rPr>
              <w:t>③所约定服务对象软件故障的诊断、分析和排除，对已知的性能问题及时优化。</w:t>
            </w:r>
          </w:p>
          <w:p>
            <w:pPr>
              <w:pStyle w:val="null3"/>
            </w:pPr>
            <w:r>
              <w:rPr>
                <w:rFonts w:ascii="仿宋_GB2312" w:hAnsi="仿宋_GB2312" w:cs="仿宋_GB2312" w:eastAsia="仿宋_GB2312"/>
              </w:rPr>
              <w:t>④系统的安全防护工作，防病毒软件及时更新的病毒库增量。及时应对攻击和病毒入侵、系统文件遭到破坏删除或数据库崩溃等情况。</w:t>
            </w:r>
          </w:p>
          <w:p>
            <w:pPr>
              <w:pStyle w:val="null3"/>
            </w:pPr>
            <w:r>
              <w:rPr>
                <w:rFonts w:ascii="仿宋_GB2312" w:hAnsi="仿宋_GB2312" w:cs="仿宋_GB2312" w:eastAsia="仿宋_GB2312"/>
              </w:rPr>
              <w:t>⑤备份系统数据库形成基线，并进行基线管理以及配置管理，并对基线的调整以及配置的改变在每月进行报告。</w:t>
            </w:r>
          </w:p>
          <w:p>
            <w:pPr>
              <w:pStyle w:val="null3"/>
            </w:pPr>
            <w:r>
              <w:rPr>
                <w:rFonts w:ascii="仿宋_GB2312" w:hAnsi="仿宋_GB2312" w:cs="仿宋_GB2312" w:eastAsia="仿宋_GB2312"/>
              </w:rPr>
              <w:t>⑥为采购人免费提供技术培训。</w:t>
            </w:r>
          </w:p>
          <w:p>
            <w:pPr>
              <w:pStyle w:val="null3"/>
            </w:pPr>
            <w:r>
              <w:rPr>
                <w:rFonts w:ascii="仿宋_GB2312" w:hAnsi="仿宋_GB2312" w:cs="仿宋_GB2312" w:eastAsia="仿宋_GB2312"/>
              </w:rPr>
              <w:t>⑦负责解答采购人提出的与网络发展和技术应用相关的各种问题，设备的优化、调整、配置。</w:t>
            </w:r>
          </w:p>
          <w:p>
            <w:pPr>
              <w:pStyle w:val="null3"/>
            </w:pPr>
            <w:r>
              <w:rPr>
                <w:rFonts w:ascii="仿宋_GB2312" w:hAnsi="仿宋_GB2312" w:cs="仿宋_GB2312" w:eastAsia="仿宋_GB2312"/>
              </w:rPr>
              <w:t>⑧定期巡检服务。工作日每天检测相关系统接口、数据质量等重要节点，有问题及时向采购人报备（未报备默认为正常）。</w:t>
            </w:r>
          </w:p>
          <w:p>
            <w:pPr>
              <w:pStyle w:val="null3"/>
            </w:pPr>
            <w:r>
              <w:rPr>
                <w:rFonts w:ascii="仿宋_GB2312" w:hAnsi="仿宋_GB2312" w:cs="仿宋_GB2312" w:eastAsia="仿宋_GB2312"/>
              </w:rPr>
              <w:t>⑨软件升级服务。调研梳理系统功能现状，根据业主需求开展并完成系统优化升级工作。</w:t>
            </w:r>
          </w:p>
          <w:p>
            <w:pPr>
              <w:pStyle w:val="null3"/>
            </w:pPr>
            <w:r>
              <w:rPr>
                <w:rFonts w:ascii="仿宋_GB2312" w:hAnsi="仿宋_GB2312" w:cs="仿宋_GB2312" w:eastAsia="仿宋_GB2312"/>
              </w:rPr>
              <w:t>⑩应急演练与日常演示配合。配合采购人或其指定的第三方开展监测应急演练。参与配合采购人开展系统日常汇报演示。</w:t>
            </w:r>
          </w:p>
          <w:p>
            <w:pPr>
              <w:pStyle w:val="null3"/>
            </w:pPr>
            <w:r>
              <w:rPr>
                <w:rFonts w:ascii="仿宋_GB2312" w:hAnsi="仿宋_GB2312" w:cs="仿宋_GB2312" w:eastAsia="仿宋_GB2312"/>
              </w:rPr>
              <w:t>⑪按时提交重要节假日、重要时期、月度、季度、年度全省交通运行监测报告。</w:t>
            </w:r>
          </w:p>
          <w:p>
            <w:pPr>
              <w:pStyle w:val="null3"/>
            </w:pPr>
            <w:r>
              <w:rPr>
                <w:rFonts w:ascii="仿宋_GB2312" w:hAnsi="仿宋_GB2312" w:cs="仿宋_GB2312" w:eastAsia="仿宋_GB2312"/>
              </w:rPr>
              <w:t>⑫年末，提交2026年度运维报告。</w:t>
            </w:r>
          </w:p>
          <w:p>
            <w:pPr>
              <w:pStyle w:val="null3"/>
            </w:pPr>
            <w:r>
              <w:rPr>
                <w:rFonts w:ascii="仿宋_GB2312" w:hAnsi="仿宋_GB2312" w:cs="仿宋_GB2312" w:eastAsia="仿宋_GB2312"/>
              </w:rPr>
              <w:t>⑬云平台主中心虚拟服务器维护：</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功能</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oracle数据库服务器</w:t>
                  </w:r>
                </w:p>
              </w:tc>
              <w:tc>
                <w:tcPr>
                  <w:tcW w:type="dxa" w:w="851"/>
                </w:tcPr>
                <w:p>
                  <w:pPr>
                    <w:pStyle w:val="null3"/>
                  </w:pPr>
                  <w:r>
                    <w:rPr>
                      <w:rFonts w:ascii="仿宋_GB2312" w:hAnsi="仿宋_GB2312" w:cs="仿宋_GB2312" w:eastAsia="仿宋_GB2312"/>
                    </w:rPr>
                    <w:t>应用系统的数据库</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达梦数据库服务器</w:t>
                  </w:r>
                </w:p>
              </w:tc>
              <w:tc>
                <w:tcPr>
                  <w:tcW w:type="dxa" w:w="851"/>
                </w:tcPr>
                <w:p>
                  <w:pPr>
                    <w:pStyle w:val="null3"/>
                  </w:pPr>
                  <w:r>
                    <w:rPr>
                      <w:rFonts w:ascii="仿宋_GB2312" w:hAnsi="仿宋_GB2312" w:cs="仿宋_GB2312" w:eastAsia="仿宋_GB2312"/>
                    </w:rPr>
                    <w:t>应用系统的数据库</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应用服务器</w:t>
                  </w:r>
                </w:p>
              </w:tc>
              <w:tc>
                <w:tcPr>
                  <w:tcW w:type="dxa" w:w="851"/>
                </w:tcPr>
                <w:p>
                  <w:pPr>
                    <w:pStyle w:val="null3"/>
                  </w:pPr>
                  <w:r>
                    <w:rPr>
                      <w:rFonts w:ascii="仿宋_GB2312" w:hAnsi="仿宋_GB2312" w:cs="仿宋_GB2312" w:eastAsia="仿宋_GB2312"/>
                    </w:rPr>
                    <w:t>部署应用程序服务</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两客一危GPS服务器</w:t>
                  </w:r>
                </w:p>
              </w:tc>
              <w:tc>
                <w:tcPr>
                  <w:tcW w:type="dxa" w:w="851"/>
                </w:tcPr>
                <w:p>
                  <w:pPr>
                    <w:pStyle w:val="null3"/>
                  </w:pPr>
                  <w:r>
                    <w:rPr>
                      <w:rFonts w:ascii="仿宋_GB2312" w:hAnsi="仿宋_GB2312" w:cs="仿宋_GB2312" w:eastAsia="仿宋_GB2312"/>
                    </w:rPr>
                    <w:t>两客一危GPS数据推送</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小程序</w:t>
                  </w:r>
                </w:p>
              </w:tc>
              <w:tc>
                <w:tcPr>
                  <w:tcW w:type="dxa" w:w="851"/>
                </w:tcPr>
                <w:p>
                  <w:pPr>
                    <w:pStyle w:val="null3"/>
                  </w:pPr>
                  <w:r>
                    <w:rPr>
                      <w:rFonts w:ascii="仿宋_GB2312" w:hAnsi="仿宋_GB2312" w:cs="仿宋_GB2312" w:eastAsia="仿宋_GB2312"/>
                    </w:rPr>
                    <w:t>小程序部署</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arcgis 部署 、（旧应用系统部署）mongodb数据库</w:t>
                  </w:r>
                </w:p>
              </w:tc>
              <w:tc>
                <w:tcPr>
                  <w:tcW w:type="dxa" w:w="851"/>
                </w:tcPr>
                <w:p>
                  <w:pPr>
                    <w:pStyle w:val="null3"/>
                  </w:pPr>
                  <w:r>
                    <w:rPr>
                      <w:rFonts w:ascii="仿宋_GB2312" w:hAnsi="仿宋_GB2312" w:cs="仿宋_GB2312" w:eastAsia="仿宋_GB2312"/>
                    </w:rPr>
                    <w:t>旧应用平台、arcgis部署、mongodb数据库</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mongdb服务</w:t>
                  </w:r>
                </w:p>
              </w:tc>
              <w:tc>
                <w:tcPr>
                  <w:tcW w:type="dxa" w:w="851"/>
                </w:tcPr>
                <w:p>
                  <w:pPr>
                    <w:pStyle w:val="null3"/>
                  </w:pPr>
                  <w:r>
                    <w:rPr>
                      <w:rFonts w:ascii="仿宋_GB2312" w:hAnsi="仿宋_GB2312" w:cs="仿宋_GB2312" w:eastAsia="仿宋_GB2312"/>
                    </w:rPr>
                    <w:t>两客一危路线mongdb服务</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远程桌面服务器</w:t>
                  </w:r>
                </w:p>
              </w:tc>
              <w:tc>
                <w:tcPr>
                  <w:tcW w:type="dxa" w:w="851"/>
                </w:tcPr>
                <w:p>
                  <w:pPr>
                    <w:pStyle w:val="null3"/>
                  </w:pPr>
                  <w:r>
                    <w:rPr>
                      <w:rFonts w:ascii="仿宋_GB2312" w:hAnsi="仿宋_GB2312" w:cs="仿宋_GB2312" w:eastAsia="仿宋_GB2312"/>
                    </w:rPr>
                    <w:t>远程桌面服务端</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远程桌面服务器</w:t>
                  </w:r>
                </w:p>
              </w:tc>
              <w:tc>
                <w:tcPr>
                  <w:tcW w:type="dxa" w:w="851"/>
                </w:tcPr>
                <w:p>
                  <w:pPr>
                    <w:pStyle w:val="null3"/>
                  </w:pPr>
                  <w:r>
                    <w:rPr>
                      <w:rFonts w:ascii="仿宋_GB2312" w:hAnsi="仿宋_GB2312" w:cs="仿宋_GB2312" w:eastAsia="仿宋_GB2312"/>
                    </w:rPr>
                    <w:t>远程桌面客户端</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远程桌面服务器</w:t>
                  </w:r>
                </w:p>
              </w:tc>
              <w:tc>
                <w:tcPr>
                  <w:tcW w:type="dxa" w:w="851"/>
                </w:tcPr>
                <w:p>
                  <w:pPr>
                    <w:pStyle w:val="null3"/>
                  </w:pPr>
                  <w:r>
                    <w:rPr>
                      <w:rFonts w:ascii="仿宋_GB2312" w:hAnsi="仿宋_GB2312" w:cs="仿宋_GB2312" w:eastAsia="仿宋_GB2312"/>
                    </w:rPr>
                    <w:t>远程桌面客户端</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远程桌面服务器</w:t>
                  </w:r>
                </w:p>
              </w:tc>
              <w:tc>
                <w:tcPr>
                  <w:tcW w:type="dxa" w:w="851"/>
                </w:tcPr>
                <w:p>
                  <w:pPr>
                    <w:pStyle w:val="null3"/>
                  </w:pPr>
                  <w:r>
                    <w:rPr>
                      <w:rFonts w:ascii="仿宋_GB2312" w:hAnsi="仿宋_GB2312" w:cs="仿宋_GB2312" w:eastAsia="仿宋_GB2312"/>
                    </w:rPr>
                    <w:t>远程桌面客户端</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远程桌面服务器</w:t>
                  </w:r>
                </w:p>
              </w:tc>
              <w:tc>
                <w:tcPr>
                  <w:tcW w:type="dxa" w:w="851"/>
                </w:tcPr>
                <w:p>
                  <w:pPr>
                    <w:pStyle w:val="null3"/>
                  </w:pPr>
                  <w:r>
                    <w:rPr>
                      <w:rFonts w:ascii="仿宋_GB2312" w:hAnsi="仿宋_GB2312" w:cs="仿宋_GB2312" w:eastAsia="仿宋_GB2312"/>
                    </w:rPr>
                    <w:t>远程桌面客户端</w:t>
                  </w:r>
                </w:p>
              </w:tc>
            </w:tr>
          </w:tbl>
          <w:p>
            <w:pPr>
              <w:pStyle w:val="null3"/>
            </w:pPr>
            <w:r>
              <w:rPr>
                <w:rFonts w:ascii="仿宋_GB2312" w:hAnsi="仿宋_GB2312" w:cs="仿宋_GB2312" w:eastAsia="仿宋_GB2312"/>
              </w:rPr>
              <w:t>3.量化指标</w:t>
            </w:r>
          </w:p>
          <w:p>
            <w:pPr>
              <w:pStyle w:val="null3"/>
            </w:pPr>
            <w:r>
              <w:rPr>
                <w:rFonts w:ascii="仿宋_GB2312" w:hAnsi="仿宋_GB2312" w:cs="仿宋_GB2312" w:eastAsia="仿宋_GB2312"/>
              </w:rPr>
              <w:t>（1）承诺7×24小时的客户热线响应技术支持服务；</w:t>
            </w:r>
          </w:p>
          <w:p>
            <w:pPr>
              <w:pStyle w:val="null3"/>
            </w:pPr>
            <w:r>
              <w:rPr>
                <w:rFonts w:ascii="仿宋_GB2312" w:hAnsi="仿宋_GB2312" w:cs="仿宋_GB2312" w:eastAsia="仿宋_GB2312"/>
              </w:rPr>
              <w:t>（2）远程诊断，及时的故障诊断；</w:t>
            </w:r>
          </w:p>
          <w:p>
            <w:pPr>
              <w:pStyle w:val="null3"/>
            </w:pPr>
            <w:r>
              <w:rPr>
                <w:rFonts w:ascii="仿宋_GB2312" w:hAnsi="仿宋_GB2312" w:cs="仿宋_GB2312" w:eastAsia="仿宋_GB2312"/>
              </w:rPr>
              <w:t>（3）现场维护，现场解决客户问题；</w:t>
            </w:r>
          </w:p>
          <w:p>
            <w:pPr>
              <w:pStyle w:val="null3"/>
            </w:pPr>
            <w:r>
              <w:rPr>
                <w:rFonts w:ascii="仿宋_GB2312" w:hAnsi="仿宋_GB2312" w:cs="仿宋_GB2312" w:eastAsia="仿宋_GB2312"/>
              </w:rPr>
              <w:t>（4）工作日内，接客户问题前往现场响应时间5分钟内；非工作日，前往现场响应时间1小时内。</w:t>
            </w:r>
          </w:p>
          <w:p>
            <w:pPr>
              <w:pStyle w:val="null3"/>
            </w:pPr>
            <w:r>
              <w:rPr>
                <w:rFonts w:ascii="仿宋_GB2312" w:hAnsi="仿宋_GB2312" w:cs="仿宋_GB2312" w:eastAsia="仿宋_GB2312"/>
              </w:rPr>
              <w:t>（5）设备发生故障时，及时与厂家沟通协助解决。</w:t>
            </w:r>
          </w:p>
          <w:p>
            <w:pPr>
              <w:pStyle w:val="null3"/>
            </w:pPr>
            <w:r>
              <w:rPr>
                <w:rFonts w:ascii="仿宋_GB2312" w:hAnsi="仿宋_GB2312" w:cs="仿宋_GB2312" w:eastAsia="仿宋_GB2312"/>
              </w:rPr>
              <w:t>4.服务期限：2026年7月3至2027年7月2日</w:t>
            </w:r>
          </w:p>
          <w:p>
            <w:pPr>
              <w:pStyle w:val="null3"/>
            </w:pPr>
            <w:r>
              <w:rPr>
                <w:rFonts w:ascii="仿宋_GB2312" w:hAnsi="仿宋_GB2312" w:cs="仿宋_GB2312" w:eastAsia="仿宋_GB2312"/>
              </w:rPr>
              <w:t>四、其它要求</w:t>
            </w:r>
          </w:p>
          <w:p>
            <w:pPr>
              <w:pStyle w:val="null3"/>
            </w:pPr>
            <w:r>
              <w:rPr>
                <w:rFonts w:ascii="仿宋_GB2312" w:hAnsi="仿宋_GB2312" w:cs="仿宋_GB2312" w:eastAsia="仿宋_GB2312"/>
              </w:rPr>
              <w:t>1、运维单位须参加考核，按照《陕西省交通运行监测中心信息化系统运维服务考核办法》执行。</w:t>
            </w:r>
          </w:p>
          <w:p>
            <w:pPr>
              <w:pStyle w:val="null3"/>
            </w:pPr>
            <w:r>
              <w:rPr>
                <w:rFonts w:ascii="仿宋_GB2312" w:hAnsi="仿宋_GB2312" w:cs="仿宋_GB2312" w:eastAsia="仿宋_GB2312"/>
              </w:rPr>
              <w:t>2、合同期满，项目必须通过验收。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标的名称：通信调度及视频整合系统维护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一、主要目标</w:t>
            </w:r>
          </w:p>
          <w:p>
            <w:pPr>
              <w:pStyle w:val="null3"/>
            </w:pPr>
            <w:r>
              <w:rPr>
                <w:rFonts w:ascii="仿宋_GB2312" w:hAnsi="仿宋_GB2312" w:cs="仿宋_GB2312" w:eastAsia="仿宋_GB2312"/>
              </w:rPr>
              <w:t>承担陕西省交通运行监测通信调度及视频整合系统运维服务。确保通信调度系统、视频整合系统等稳定、可靠、持续运行，支撑全省交通运行监测与应急通信调度工作。</w:t>
            </w:r>
          </w:p>
          <w:p>
            <w:pPr>
              <w:pStyle w:val="null3"/>
            </w:pPr>
            <w:r>
              <w:rPr>
                <w:rFonts w:ascii="仿宋_GB2312" w:hAnsi="仿宋_GB2312" w:cs="仿宋_GB2312" w:eastAsia="仿宋_GB2312"/>
              </w:rPr>
              <w:t>二、安全保密</w:t>
            </w:r>
          </w:p>
          <w:p>
            <w:pPr>
              <w:pStyle w:val="null3"/>
            </w:pPr>
            <w:r>
              <w:rPr>
                <w:rFonts w:ascii="仿宋_GB2312" w:hAnsi="仿宋_GB2312" w:cs="仿宋_GB2312" w:eastAsia="仿宋_GB2312"/>
              </w:rPr>
              <w:t>1.增强人员安全意识，严格按照相关规定流程操作。</w:t>
            </w:r>
          </w:p>
          <w:p>
            <w:pPr>
              <w:pStyle w:val="null3"/>
            </w:pPr>
            <w:r>
              <w:rPr>
                <w:rFonts w:ascii="仿宋_GB2312" w:hAnsi="仿宋_GB2312" w:cs="仿宋_GB2312" w:eastAsia="仿宋_GB2312"/>
              </w:rPr>
              <w:t>2.签订《调度及视频整合系统维护保密协议》，确保信息安全。</w:t>
            </w:r>
          </w:p>
          <w:p>
            <w:pPr>
              <w:pStyle w:val="null3"/>
            </w:pPr>
            <w:r>
              <w:rPr>
                <w:rFonts w:ascii="仿宋_GB2312" w:hAnsi="仿宋_GB2312" w:cs="仿宋_GB2312" w:eastAsia="仿宋_GB2312"/>
              </w:rPr>
              <w:t>三、通信调度及视频整合系统维护</w:t>
            </w:r>
          </w:p>
          <w:p>
            <w:pPr>
              <w:pStyle w:val="null3"/>
            </w:pPr>
            <w:r>
              <w:rPr>
                <w:rFonts w:ascii="仿宋_GB2312" w:hAnsi="仿宋_GB2312" w:cs="仿宋_GB2312" w:eastAsia="仿宋_GB2312"/>
              </w:rPr>
              <w:t>1.主要目标</w:t>
            </w:r>
          </w:p>
          <w:p>
            <w:pPr>
              <w:pStyle w:val="null3"/>
            </w:pPr>
            <w:r>
              <w:rPr>
                <w:rFonts w:ascii="仿宋_GB2312" w:hAnsi="仿宋_GB2312" w:cs="仿宋_GB2312" w:eastAsia="仿宋_GB2312"/>
              </w:rPr>
              <w:t>承担陕西省交通应急通信调度及视频整合系统软硬件运维服务，保障系统全天候正常运行。</w:t>
            </w:r>
          </w:p>
          <w:p>
            <w:pPr>
              <w:pStyle w:val="null3"/>
            </w:pPr>
            <w:r>
              <w:rPr>
                <w:rFonts w:ascii="仿宋_GB2312" w:hAnsi="仿宋_GB2312" w:cs="仿宋_GB2312" w:eastAsia="仿宋_GB2312"/>
              </w:rPr>
              <w:t>2.维护清单</w:t>
            </w:r>
          </w:p>
          <w:p>
            <w:pPr>
              <w:pStyle w:val="null3"/>
            </w:pPr>
            <w:r>
              <w:rPr>
                <w:rFonts w:ascii="仿宋_GB2312" w:hAnsi="仿宋_GB2312" w:cs="仿宋_GB2312" w:eastAsia="仿宋_GB2312"/>
              </w:rPr>
              <w:t>（1）应急通信调度系统</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项目名称</w:t>
                  </w:r>
                </w:p>
              </w:tc>
              <w:tc>
                <w:tcPr>
                  <w:tcW w:type="dxa" w:w="426"/>
                </w:tcPr>
                <w:p>
                  <w:pPr>
                    <w:pStyle w:val="null3"/>
                  </w:pPr>
                  <w:r>
                    <w:rPr>
                      <w:rFonts w:ascii="仿宋_GB2312" w:hAnsi="仿宋_GB2312" w:cs="仿宋_GB2312" w:eastAsia="仿宋_GB2312"/>
                    </w:rPr>
                    <w:t>品牌</w:t>
                  </w:r>
                </w:p>
              </w:tc>
              <w:tc>
                <w:tcPr>
                  <w:tcW w:type="dxa" w:w="426"/>
                </w:tcPr>
                <w:p>
                  <w:pPr>
                    <w:pStyle w:val="null3"/>
                  </w:pPr>
                  <w:r>
                    <w:rPr>
                      <w:rFonts w:ascii="仿宋_GB2312" w:hAnsi="仿宋_GB2312" w:cs="仿宋_GB2312" w:eastAsia="仿宋_GB2312"/>
                    </w:rPr>
                    <w:t>型号</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通信调度主机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CTS3000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视频调度主机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r>
            <w:tr>
              <w:tc>
                <w:tcPr>
                  <w:tcW w:type="dxa" w:w="426"/>
                  <w:vMerge w:val="restart"/>
                </w:tcPr>
                <w:p>
                  <w:pPr>
                    <w:pStyle w:val="null3"/>
                  </w:pPr>
                  <w:r>
                    <w:rPr>
                      <w:rFonts w:ascii="仿宋_GB2312" w:hAnsi="仿宋_GB2312" w:cs="仿宋_GB2312" w:eastAsia="仿宋_GB2312"/>
                    </w:rPr>
                    <w:t>3</w:t>
                  </w:r>
                </w:p>
              </w:tc>
              <w:tc>
                <w:tcPr>
                  <w:tcW w:type="dxa" w:w="426"/>
                  <w:vMerge w:val="restart"/>
                </w:tcPr>
                <w:p>
                  <w:pPr>
                    <w:pStyle w:val="null3"/>
                  </w:pPr>
                  <w:r>
                    <w:rPr>
                      <w:rFonts w:ascii="仿宋_GB2312" w:hAnsi="仿宋_GB2312" w:cs="仿宋_GB2312" w:eastAsia="仿宋_GB2312"/>
                    </w:rPr>
                    <w:t>中心通信网关</w:t>
                  </w:r>
                </w:p>
              </w:tc>
              <w:tc>
                <w:tcPr>
                  <w:tcW w:type="dxa" w:w="426"/>
                </w:tcPr>
                <w:p>
                  <w:pPr>
                    <w:pStyle w:val="null3"/>
                  </w:pPr>
                  <w:r>
                    <w:rPr>
                      <w:rFonts w:ascii="仿宋_GB2312" w:hAnsi="仿宋_GB2312" w:cs="仿宋_GB2312" w:eastAsia="仿宋_GB2312"/>
                    </w:rPr>
                    <w:t>来讯</w:t>
                  </w:r>
                </w:p>
              </w:tc>
              <w:tc>
                <w:tcPr>
                  <w:tcW w:type="dxa" w:w="426"/>
                </w:tcPr>
                <w:p>
                  <w:pPr>
                    <w:pStyle w:val="null3"/>
                  </w:pPr>
                  <w:r>
                    <w:rPr>
                      <w:rFonts w:ascii="仿宋_GB2312" w:hAnsi="仿宋_GB2312" w:cs="仿宋_GB2312" w:eastAsia="仿宋_GB2312"/>
                    </w:rPr>
                    <w:t>NC-MG900</w:t>
                  </w:r>
                </w:p>
              </w:tc>
              <w:tc>
                <w:tcPr>
                  <w:tcW w:type="dxa" w:w="426"/>
                  <w:vMerge w:val="restart"/>
                </w:tcPr>
                <w:p>
                  <w:pPr>
                    <w:pStyle w:val="null3"/>
                  </w:pPr>
                  <w:r>
                    <w:rPr>
                      <w:rFonts w:ascii="仿宋_GB2312" w:hAnsi="仿宋_GB2312" w:cs="仿宋_GB2312" w:eastAsia="仿宋_GB2312"/>
                    </w:rPr>
                    <w:t>台</w:t>
                  </w:r>
                </w:p>
              </w:tc>
              <w:tc>
                <w:tcPr>
                  <w:tcW w:type="dxa" w:w="426"/>
                  <w:vMerge w:val="restart"/>
                </w:tcPr>
                <w:p>
                  <w:pPr>
                    <w:pStyle w:val="null3"/>
                  </w:pPr>
                  <w:r>
                    <w:rPr>
                      <w:rFonts w:ascii="仿宋_GB2312" w:hAnsi="仿宋_GB2312" w:cs="仿宋_GB2312" w:eastAsia="仿宋_GB2312"/>
                    </w:rPr>
                    <w:t>1</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好会通</w:t>
                  </w:r>
                </w:p>
              </w:tc>
              <w:tc>
                <w:tcPr>
                  <w:tcW w:type="dxa" w:w="426"/>
                </w:tcPr>
                <w:p>
                  <w:pPr>
                    <w:pStyle w:val="null3"/>
                  </w:pPr>
                  <w:r>
                    <w:rPr>
                      <w:rFonts w:ascii="仿宋_GB2312" w:hAnsi="仿宋_GB2312" w:cs="仿宋_GB2312" w:eastAsia="仿宋_GB2312"/>
                    </w:rPr>
                    <w:t>HHT-HC-B</w:t>
                  </w:r>
                </w:p>
              </w:tc>
              <w:tc>
                <w:tcPr>
                  <w:tcW w:type="dxa" w:w="426"/>
                  <w:vMerge/>
                </w:tcPr>
                <w:p/>
              </w:tc>
              <w:tc>
                <w:tcPr>
                  <w:tcW w:type="dxa" w:w="426"/>
                  <w:vMerge/>
                </w:tcP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唯一通信</w:t>
                  </w:r>
                </w:p>
              </w:tc>
              <w:tc>
                <w:tcPr>
                  <w:tcW w:type="dxa" w:w="426"/>
                </w:tcPr>
                <w:p>
                  <w:pPr>
                    <w:pStyle w:val="null3"/>
                  </w:pPr>
                  <w:r>
                    <w:rPr>
                      <w:rFonts w:ascii="仿宋_GB2312" w:hAnsi="仿宋_GB2312" w:cs="仿宋_GB2312" w:eastAsia="仿宋_GB2312"/>
                    </w:rPr>
                    <w:t>EVG110A</w:t>
                  </w:r>
                </w:p>
              </w:tc>
              <w:tc>
                <w:tcPr>
                  <w:tcW w:type="dxa" w:w="426"/>
                  <w:vMerge/>
                </w:tcPr>
                <w:p/>
              </w:tc>
              <w:tc>
                <w:tcPr>
                  <w:tcW w:type="dxa" w:w="426"/>
                  <w:vMerge/>
                </w:tcP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综合网管主机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数字录音主机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电子传真主机</w:t>
                  </w:r>
                </w:p>
              </w:tc>
              <w:tc>
                <w:tcPr>
                  <w:tcW w:type="dxa" w:w="426"/>
                </w:tcPr>
                <w:p>
                  <w:pPr>
                    <w:pStyle w:val="null3"/>
                  </w:pPr>
                  <w:r>
                    <w:rPr>
                      <w:rFonts w:ascii="仿宋_GB2312" w:hAnsi="仿宋_GB2312" w:cs="仿宋_GB2312" w:eastAsia="仿宋_GB2312"/>
                    </w:rPr>
                    <w:t>浪潮</w:t>
                  </w:r>
                </w:p>
              </w:tc>
              <w:tc>
                <w:tcPr>
                  <w:tcW w:type="dxa" w:w="426"/>
                </w:tcPr>
                <w:p>
                  <w:pPr>
                    <w:pStyle w:val="null3"/>
                  </w:pPr>
                  <w:r>
                    <w:rPr>
                      <w:rFonts w:ascii="仿宋_GB2312" w:hAnsi="仿宋_GB2312" w:cs="仿宋_GB2312" w:eastAsia="仿宋_GB2312"/>
                    </w:rPr>
                    <w:t>NF5270M4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短信主机</w:t>
                  </w:r>
                </w:p>
              </w:tc>
              <w:tc>
                <w:tcPr>
                  <w:tcW w:type="dxa" w:w="426"/>
                </w:tcPr>
                <w:p>
                  <w:pPr>
                    <w:pStyle w:val="null3"/>
                  </w:pPr>
                  <w:r>
                    <w:rPr>
                      <w:rFonts w:ascii="仿宋_GB2312" w:hAnsi="仿宋_GB2312" w:cs="仿宋_GB2312" w:eastAsia="仿宋_GB2312"/>
                    </w:rPr>
                    <w:t>浪潮</w:t>
                  </w:r>
                </w:p>
              </w:tc>
              <w:tc>
                <w:tcPr>
                  <w:tcW w:type="dxa" w:w="426"/>
                </w:tcPr>
                <w:p>
                  <w:pPr>
                    <w:pStyle w:val="null3"/>
                  </w:pPr>
                  <w:r>
                    <w:rPr>
                      <w:rFonts w:ascii="仿宋_GB2312" w:hAnsi="仿宋_GB2312" w:cs="仿宋_GB2312" w:eastAsia="仿宋_GB2312"/>
                    </w:rPr>
                    <w:t>NF5270M4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通信预案主机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应急会商主机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即时通信主机</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CTS2000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vMerge w:val="restart"/>
                </w:tcPr>
                <w:p>
                  <w:pPr>
                    <w:pStyle w:val="null3"/>
                  </w:pPr>
                  <w:r>
                    <w:rPr>
                      <w:rFonts w:ascii="仿宋_GB2312" w:hAnsi="仿宋_GB2312" w:cs="仿宋_GB2312" w:eastAsia="仿宋_GB2312"/>
                    </w:rPr>
                    <w:t>11</w:t>
                  </w:r>
                </w:p>
              </w:tc>
              <w:tc>
                <w:tcPr>
                  <w:tcW w:type="dxa" w:w="426"/>
                  <w:vMerge w:val="restart"/>
                </w:tcPr>
                <w:p>
                  <w:pPr>
                    <w:pStyle w:val="null3"/>
                  </w:pPr>
                  <w:r>
                    <w:rPr>
                      <w:rFonts w:ascii="仿宋_GB2312" w:hAnsi="仿宋_GB2312" w:cs="仿宋_GB2312" w:eastAsia="仿宋_GB2312"/>
                    </w:rPr>
                    <w:t>调度台</w:t>
                  </w:r>
                </w:p>
              </w:tc>
              <w:tc>
                <w:tcPr>
                  <w:tcW w:type="dxa" w:w="426"/>
                </w:tcPr>
                <w:p>
                  <w:pPr>
                    <w:pStyle w:val="null3"/>
                  </w:pPr>
                  <w:r>
                    <w:rPr>
                      <w:rFonts w:ascii="仿宋_GB2312" w:hAnsi="仿宋_GB2312" w:cs="仿宋_GB2312" w:eastAsia="仿宋_GB2312"/>
                    </w:rPr>
                    <w:t>惠普</w:t>
                  </w:r>
                </w:p>
              </w:tc>
              <w:tc>
                <w:tcPr>
                  <w:tcW w:type="dxa" w:w="426"/>
                </w:tcPr>
                <w:p>
                  <w:pPr>
                    <w:pStyle w:val="null3"/>
                  </w:pPr>
                  <w:r>
                    <w:rPr>
                      <w:rFonts w:ascii="仿宋_GB2312" w:hAnsi="仿宋_GB2312" w:cs="仿宋_GB2312" w:eastAsia="仿宋_GB2312"/>
                    </w:rPr>
                    <w:t>ProDesk 480MT</w:t>
                  </w:r>
                </w:p>
              </w:tc>
              <w:tc>
                <w:tcPr>
                  <w:tcW w:type="dxa" w:w="426"/>
                  <w:vMerge w:val="restart"/>
                </w:tcPr>
                <w:p>
                  <w:pPr>
                    <w:pStyle w:val="null3"/>
                  </w:pPr>
                  <w:r>
                    <w:rPr>
                      <w:rFonts w:ascii="仿宋_GB2312" w:hAnsi="仿宋_GB2312" w:cs="仿宋_GB2312" w:eastAsia="仿宋_GB2312"/>
                    </w:rPr>
                    <w:t>套</w:t>
                  </w:r>
                </w:p>
              </w:tc>
              <w:tc>
                <w:tcPr>
                  <w:tcW w:type="dxa" w:w="426"/>
                  <w:vMerge w:val="restart"/>
                </w:tcPr>
                <w:p>
                  <w:pPr>
                    <w:pStyle w:val="null3"/>
                  </w:pPr>
                  <w:r>
                    <w:rPr>
                      <w:rFonts w:ascii="仿宋_GB2312" w:hAnsi="仿宋_GB2312" w:cs="仿宋_GB2312" w:eastAsia="仿宋_GB2312"/>
                    </w:rPr>
                    <w:t>18</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长城</w:t>
                  </w:r>
                </w:p>
              </w:tc>
              <w:tc>
                <w:tcPr>
                  <w:tcW w:type="dxa" w:w="426"/>
                </w:tcPr>
                <w:p>
                  <w:pPr>
                    <w:pStyle w:val="null3"/>
                  </w:pPr>
                  <w:r>
                    <w:rPr>
                      <w:rFonts w:ascii="仿宋_GB2312" w:hAnsi="仿宋_GB2312" w:cs="仿宋_GB2312" w:eastAsia="仿宋_GB2312"/>
                    </w:rPr>
                    <w:t>L2378P</w:t>
                  </w:r>
                </w:p>
              </w:tc>
              <w:tc>
                <w:tcPr>
                  <w:tcW w:type="dxa" w:w="426"/>
                  <w:vMerge/>
                </w:tcPr>
                <w:p/>
              </w:tc>
              <w:tc>
                <w:tcPr>
                  <w:tcW w:type="dxa" w:w="426"/>
                  <w:vMerge/>
                </w:tcP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罗技</w:t>
                  </w:r>
                </w:p>
              </w:tc>
              <w:tc>
                <w:tcPr>
                  <w:tcW w:type="dxa" w:w="426"/>
                </w:tcPr>
                <w:p>
                  <w:pPr>
                    <w:pStyle w:val="null3"/>
                  </w:pPr>
                  <w:r>
                    <w:rPr>
                      <w:rFonts w:ascii="仿宋_GB2312" w:hAnsi="仿宋_GB2312" w:cs="仿宋_GB2312" w:eastAsia="仿宋_GB2312"/>
                    </w:rPr>
                    <w:t>BCC950</w:t>
                  </w:r>
                </w:p>
              </w:tc>
              <w:tc>
                <w:tcPr>
                  <w:tcW w:type="dxa" w:w="426"/>
                  <w:vMerge/>
                </w:tcPr>
                <w:p/>
              </w:tc>
              <w:tc>
                <w:tcPr>
                  <w:tcW w:type="dxa" w:w="426"/>
                  <w:vMerge/>
                </w:tcP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乐歌</w:t>
                  </w:r>
                </w:p>
              </w:tc>
              <w:tc>
                <w:tcPr>
                  <w:tcW w:type="dxa" w:w="426"/>
                </w:tcPr>
                <w:p>
                  <w:pPr>
                    <w:pStyle w:val="null3"/>
                  </w:pPr>
                  <w:r>
                    <w:rPr>
                      <w:rFonts w:ascii="仿宋_GB2312" w:hAnsi="仿宋_GB2312" w:cs="仿宋_GB2312" w:eastAsia="仿宋_GB2312"/>
                    </w:rPr>
                    <w:t>D2T</w:t>
                  </w:r>
                </w:p>
              </w:tc>
              <w:tc>
                <w:tcPr>
                  <w:tcW w:type="dxa" w:w="426"/>
                  <w:vMerge/>
                </w:tcPr>
                <w:p/>
              </w:tc>
              <w:tc>
                <w:tcPr>
                  <w:tcW w:type="dxa" w:w="426"/>
                  <w:vMerge/>
                </w:tcP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视频会议终端</w:t>
                  </w:r>
                </w:p>
              </w:tc>
              <w:tc>
                <w:tcPr>
                  <w:tcW w:type="dxa" w:w="426"/>
                </w:tcPr>
                <w:p>
                  <w:pPr>
                    <w:pStyle w:val="null3"/>
                  </w:pPr>
                  <w:r>
                    <w:rPr>
                      <w:rFonts w:ascii="仿宋_GB2312" w:hAnsi="仿宋_GB2312" w:cs="仿宋_GB2312" w:eastAsia="仿宋_GB2312"/>
                    </w:rPr>
                    <w:t>POLYCOM</w:t>
                  </w:r>
                </w:p>
              </w:tc>
              <w:tc>
                <w:tcPr>
                  <w:tcW w:type="dxa" w:w="426"/>
                </w:tcPr>
                <w:p>
                  <w:pPr>
                    <w:pStyle w:val="null3"/>
                  </w:pPr>
                  <w:r>
                    <w:rPr>
                      <w:rFonts w:ascii="仿宋_GB2312" w:hAnsi="仿宋_GB2312" w:cs="仿宋_GB2312" w:eastAsia="仿宋_GB2312"/>
                    </w:rPr>
                    <w:t>Group550</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应急会商终端</w:t>
                  </w:r>
                </w:p>
              </w:tc>
              <w:tc>
                <w:tcPr>
                  <w:tcW w:type="dxa" w:w="426"/>
                </w:tcPr>
                <w:p>
                  <w:pPr>
                    <w:pStyle w:val="null3"/>
                  </w:pPr>
                  <w:r>
                    <w:rPr>
                      <w:rFonts w:ascii="仿宋_GB2312" w:hAnsi="仿宋_GB2312" w:cs="仿宋_GB2312" w:eastAsia="仿宋_GB2312"/>
                    </w:rPr>
                    <w:t>亿联</w:t>
                  </w:r>
                </w:p>
              </w:tc>
              <w:tc>
                <w:tcPr>
                  <w:tcW w:type="dxa" w:w="426"/>
                </w:tcPr>
                <w:p>
                  <w:pPr>
                    <w:pStyle w:val="null3"/>
                  </w:pPr>
                  <w:r>
                    <w:rPr>
                      <w:rFonts w:ascii="仿宋_GB2312" w:hAnsi="仿宋_GB2312" w:cs="仿宋_GB2312" w:eastAsia="仿宋_GB2312"/>
                    </w:rPr>
                    <w:t>T49G</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9</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调度软件</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Smart-MDS</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MIDS一体化便捷指挥系统软件V1.0</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MIDS一体化便捷指挥系统软件V1.0</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移动APP软件</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PTTalk</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50</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外部系统接口</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定制开发</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（2）视频整合管理平台</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项目名称</w:t>
                  </w:r>
                </w:p>
              </w:tc>
              <w:tc>
                <w:tcPr>
                  <w:tcW w:type="dxa" w:w="426"/>
                </w:tcPr>
                <w:p>
                  <w:pPr>
                    <w:pStyle w:val="null3"/>
                  </w:pPr>
                  <w:r>
                    <w:rPr>
                      <w:rFonts w:ascii="仿宋_GB2312" w:hAnsi="仿宋_GB2312" w:cs="仿宋_GB2312" w:eastAsia="仿宋_GB2312"/>
                    </w:rPr>
                    <w:t>品   牌</w:t>
                  </w:r>
                </w:p>
              </w:tc>
              <w:tc>
                <w:tcPr>
                  <w:tcW w:type="dxa" w:w="426"/>
                </w:tcPr>
                <w:p>
                  <w:pPr>
                    <w:pStyle w:val="null3"/>
                  </w:pPr>
                  <w:r>
                    <w:rPr>
                      <w:rFonts w:ascii="仿宋_GB2312" w:hAnsi="仿宋_GB2312" w:cs="仿宋_GB2312" w:eastAsia="仿宋_GB2312"/>
                    </w:rPr>
                    <w:t>型  号</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视频整合平台软件</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VISM-PLAT</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视频接入软件</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VISM-VAS</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流媒体软件</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VISM-MSS</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视频整合平台对接</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定制开发</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视频接入服务器</w:t>
                  </w:r>
                </w:p>
              </w:tc>
              <w:tc>
                <w:tcPr>
                  <w:tcW w:type="dxa" w:w="426"/>
                </w:tcPr>
                <w:p>
                  <w:pPr>
                    <w:pStyle w:val="null3"/>
                  </w:pPr>
                  <w:r>
                    <w:rPr>
                      <w:rFonts w:ascii="仿宋_GB2312" w:hAnsi="仿宋_GB2312" w:cs="仿宋_GB2312" w:eastAsia="仿宋_GB2312"/>
                    </w:rPr>
                    <w:t>浪潮</w:t>
                  </w:r>
                </w:p>
              </w:tc>
              <w:tc>
                <w:tcPr>
                  <w:tcW w:type="dxa" w:w="426"/>
                </w:tcPr>
                <w:p>
                  <w:pPr>
                    <w:pStyle w:val="null3"/>
                  </w:pPr>
                  <w:r>
                    <w:rPr>
                      <w:rFonts w:ascii="仿宋_GB2312" w:hAnsi="仿宋_GB2312" w:cs="仿宋_GB2312" w:eastAsia="仿宋_GB2312"/>
                    </w:rPr>
                    <w:t>NF5270M4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流媒体服务器</w:t>
                  </w:r>
                </w:p>
              </w:tc>
              <w:tc>
                <w:tcPr>
                  <w:tcW w:type="dxa" w:w="426"/>
                </w:tcPr>
                <w:p>
                  <w:pPr>
                    <w:pStyle w:val="null3"/>
                  </w:pPr>
                  <w:r>
                    <w:rPr>
                      <w:rFonts w:ascii="仿宋_GB2312" w:hAnsi="仿宋_GB2312" w:cs="仿宋_GB2312" w:eastAsia="仿宋_GB2312"/>
                    </w:rPr>
                    <w:t>浪潮</w:t>
                  </w:r>
                </w:p>
              </w:tc>
              <w:tc>
                <w:tcPr>
                  <w:tcW w:type="dxa" w:w="426"/>
                </w:tcPr>
                <w:p>
                  <w:pPr>
                    <w:pStyle w:val="null3"/>
                  </w:pPr>
                  <w:r>
                    <w:rPr>
                      <w:rFonts w:ascii="仿宋_GB2312" w:hAnsi="仿宋_GB2312" w:cs="仿宋_GB2312" w:eastAsia="仿宋_GB2312"/>
                    </w:rPr>
                    <w:t>NF5270M4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存储型NVR</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UIG810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4</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存储型NVR（安康）</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UIG810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混合式NVR</w:t>
                  </w:r>
                </w:p>
              </w:tc>
              <w:tc>
                <w:tcPr>
                  <w:tcW w:type="dxa" w:w="426"/>
                </w:tcPr>
                <w:p>
                  <w:pPr>
                    <w:pStyle w:val="null3"/>
                  </w:pPr>
                  <w:r>
                    <w:rPr>
                      <w:rFonts w:ascii="仿宋_GB2312" w:hAnsi="仿宋_GB2312" w:cs="仿宋_GB2312" w:eastAsia="仿宋_GB2312"/>
                    </w:rPr>
                    <w:t>惟新科技</w:t>
                  </w:r>
                </w:p>
              </w:tc>
              <w:tc>
                <w:tcPr>
                  <w:tcW w:type="dxa" w:w="426"/>
                </w:tcPr>
                <w:p>
                  <w:pPr>
                    <w:pStyle w:val="null3"/>
                  </w:pPr>
                  <w:r>
                    <w:rPr>
                      <w:rFonts w:ascii="仿宋_GB2312" w:hAnsi="仿宋_GB2312" w:cs="仿宋_GB2312" w:eastAsia="仿宋_GB2312"/>
                    </w:rPr>
                    <w:t>UIG820</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28</w:t>
                  </w:r>
                </w:p>
              </w:tc>
            </w:tr>
          </w:tbl>
          <w:p>
            <w:pPr>
              <w:pStyle w:val="null3"/>
            </w:pPr>
            <w:r>
              <w:rPr>
                <w:rFonts w:ascii="仿宋_GB2312" w:hAnsi="仿宋_GB2312" w:cs="仿宋_GB2312" w:eastAsia="仿宋_GB2312"/>
              </w:rPr>
              <w:t>（3）云平台主中心虚拟服务器</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功能描述</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视频整合系统-视频整合平台管理服务器</w:t>
                  </w:r>
                </w:p>
              </w:tc>
              <w:tc>
                <w:tcPr>
                  <w:tcW w:type="dxa" w:w="851"/>
                </w:tcPr>
                <w:p>
                  <w:pPr>
                    <w:pStyle w:val="null3"/>
                  </w:pPr>
                  <w:r>
                    <w:rPr>
                      <w:rFonts w:ascii="仿宋_GB2312" w:hAnsi="仿宋_GB2312" w:cs="仿宋_GB2312" w:eastAsia="仿宋_GB2312"/>
                    </w:rPr>
                    <w:t>平台管理</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视频整合系统-视频接入服务器</w:t>
                  </w:r>
                </w:p>
              </w:tc>
              <w:tc>
                <w:tcPr>
                  <w:tcW w:type="dxa" w:w="851"/>
                </w:tcPr>
                <w:p>
                  <w:pPr>
                    <w:pStyle w:val="null3"/>
                  </w:pPr>
                  <w:r>
                    <w:rPr>
                      <w:rFonts w:ascii="仿宋_GB2312" w:hAnsi="仿宋_GB2312" w:cs="仿宋_GB2312" w:eastAsia="仿宋_GB2312"/>
                    </w:rPr>
                    <w:t>视频接入</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视频整合系统-流媒体服务器</w:t>
                  </w:r>
                </w:p>
              </w:tc>
              <w:tc>
                <w:tcPr>
                  <w:tcW w:type="dxa" w:w="851"/>
                </w:tcPr>
                <w:p>
                  <w:pPr>
                    <w:pStyle w:val="null3"/>
                  </w:pPr>
                  <w:r>
                    <w:rPr>
                      <w:rFonts w:ascii="仿宋_GB2312" w:hAnsi="仿宋_GB2312" w:cs="仿宋_GB2312" w:eastAsia="仿宋_GB2312"/>
                    </w:rPr>
                    <w:t>流媒体转发</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视频整合系统-标准网关转码服务器</w:t>
                  </w:r>
                </w:p>
              </w:tc>
              <w:tc>
                <w:tcPr>
                  <w:tcW w:type="dxa" w:w="851"/>
                </w:tcPr>
                <w:p>
                  <w:pPr>
                    <w:pStyle w:val="null3"/>
                  </w:pPr>
                  <w:r>
                    <w:rPr>
                      <w:rFonts w:ascii="仿宋_GB2312" w:hAnsi="仿宋_GB2312" w:cs="仿宋_GB2312" w:eastAsia="仿宋_GB2312"/>
                    </w:rPr>
                    <w:t>标准网关</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视频整合系统-手机转码服务器</w:t>
                  </w:r>
                </w:p>
              </w:tc>
              <w:tc>
                <w:tcPr>
                  <w:tcW w:type="dxa" w:w="851"/>
                </w:tcPr>
                <w:p>
                  <w:pPr>
                    <w:pStyle w:val="null3"/>
                  </w:pPr>
                  <w:r>
                    <w:rPr>
                      <w:rFonts w:ascii="仿宋_GB2312" w:hAnsi="仿宋_GB2312" w:cs="仿宋_GB2312" w:eastAsia="仿宋_GB2312"/>
                    </w:rPr>
                    <w:t>手机转码</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视频整合系统-非标接入服务器</w:t>
                  </w:r>
                </w:p>
              </w:tc>
              <w:tc>
                <w:tcPr>
                  <w:tcW w:type="dxa" w:w="851"/>
                </w:tcPr>
                <w:p>
                  <w:pPr>
                    <w:pStyle w:val="null3"/>
                  </w:pPr>
                  <w:r>
                    <w:rPr>
                      <w:rFonts w:ascii="仿宋_GB2312" w:hAnsi="仿宋_GB2312" w:cs="仿宋_GB2312" w:eastAsia="仿宋_GB2312"/>
                    </w:rPr>
                    <w:t>非标接入</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视频整合系统-公安接入</w:t>
                  </w:r>
                </w:p>
              </w:tc>
              <w:tc>
                <w:tcPr>
                  <w:tcW w:type="dxa" w:w="851"/>
                </w:tcPr>
                <w:p>
                  <w:pPr>
                    <w:pStyle w:val="null3"/>
                  </w:pPr>
                  <w:r>
                    <w:rPr>
                      <w:rFonts w:ascii="仿宋_GB2312" w:hAnsi="仿宋_GB2312" w:cs="仿宋_GB2312" w:eastAsia="仿宋_GB2312"/>
                    </w:rPr>
                    <w:t>公安接入</w:t>
                  </w:r>
                </w:p>
              </w:tc>
            </w:tr>
          </w:tbl>
          <w:p>
            <w:pPr>
              <w:pStyle w:val="null3"/>
            </w:pPr>
            <w:r>
              <w:rPr>
                <w:rFonts w:ascii="仿宋_GB2312" w:hAnsi="仿宋_GB2312" w:cs="仿宋_GB2312" w:eastAsia="仿宋_GB2312"/>
              </w:rPr>
              <w:t>3.日常维护任务</w:t>
            </w:r>
          </w:p>
          <w:p>
            <w:pPr>
              <w:pStyle w:val="null3"/>
            </w:pPr>
            <w:r>
              <w:rPr>
                <w:rFonts w:ascii="仿宋_GB2312" w:hAnsi="仿宋_GB2312" w:cs="仿宋_GB2312" w:eastAsia="仿宋_GB2312"/>
              </w:rPr>
              <w:t>（1）每日检查应急通信调度系统和视频整合管理平台（平台涉及的所有视频）系统状态，有问题及时向采购人报备（未报备默认为正常）。</w:t>
            </w:r>
          </w:p>
          <w:p>
            <w:pPr>
              <w:pStyle w:val="null3"/>
            </w:pPr>
            <w:r>
              <w:rPr>
                <w:rFonts w:ascii="仿宋_GB2312" w:hAnsi="仿宋_GB2312" w:cs="仿宋_GB2312" w:eastAsia="仿宋_GB2312"/>
              </w:rPr>
              <w:t>（2）每月一次，现场对本次范围内所维护的系统设备进行常规检测，并详细记录检测内容和结果。对随时发现的故障和不合理的使用进行解决和纠正。对所有设备进行运行日志分析，发现潜在的硬件故障，并着手对故障进行解决。</w:t>
            </w:r>
          </w:p>
          <w:p>
            <w:pPr>
              <w:pStyle w:val="null3"/>
            </w:pPr>
            <w:r>
              <w:rPr>
                <w:rFonts w:ascii="仿宋_GB2312" w:hAnsi="仿宋_GB2312" w:cs="仿宋_GB2312" w:eastAsia="仿宋_GB2312"/>
              </w:rPr>
              <w:t>（3）每季度一次派遣技术专家对维护的系统设备进行常规检测，并详细记录检测内容和结果。对发现的故障隐患和不合理内容进行处理。</w:t>
            </w:r>
          </w:p>
          <w:p>
            <w:pPr>
              <w:pStyle w:val="null3"/>
            </w:pPr>
            <w:r>
              <w:rPr>
                <w:rFonts w:ascii="仿宋_GB2312" w:hAnsi="仿宋_GB2312" w:cs="仿宋_GB2312" w:eastAsia="仿宋_GB2312"/>
              </w:rPr>
              <w:t>（4）对本次维护的所有系统设备的故障排除、运行监测、检测和备件更换等所有操作都应有文字记录；</w:t>
            </w:r>
          </w:p>
          <w:p>
            <w:pPr>
              <w:pStyle w:val="null3"/>
            </w:pPr>
            <w:r>
              <w:rPr>
                <w:rFonts w:ascii="仿宋_GB2312" w:hAnsi="仿宋_GB2312" w:cs="仿宋_GB2312" w:eastAsia="仿宋_GB2312"/>
              </w:rPr>
              <w:t>（5）每月一次，打扫省厅专网机房维护设备所在的机柜内部卫生，每年两次清理硬件设备机箱内部的灰尘（市级硬件设备每年一次）。</w:t>
            </w:r>
          </w:p>
          <w:p>
            <w:pPr>
              <w:pStyle w:val="null3"/>
            </w:pPr>
            <w:r>
              <w:rPr>
                <w:rFonts w:ascii="仿宋_GB2312" w:hAnsi="仿宋_GB2312" w:cs="仿宋_GB2312" w:eastAsia="仿宋_GB2312"/>
              </w:rPr>
              <w:t>（6）年末，提交2026年度运维报告。</w:t>
            </w:r>
          </w:p>
          <w:p>
            <w:pPr>
              <w:pStyle w:val="null3"/>
            </w:pPr>
            <w:r>
              <w:rPr>
                <w:rFonts w:ascii="仿宋_GB2312" w:hAnsi="仿宋_GB2312" w:cs="仿宋_GB2312" w:eastAsia="仿宋_GB2312"/>
              </w:rPr>
              <w:t>4.量化指标</w:t>
            </w:r>
          </w:p>
          <w:p>
            <w:pPr>
              <w:pStyle w:val="null3"/>
            </w:pPr>
            <w:r>
              <w:rPr>
                <w:rFonts w:ascii="仿宋_GB2312" w:hAnsi="仿宋_GB2312" w:cs="仿宋_GB2312" w:eastAsia="仿宋_GB2312"/>
              </w:rPr>
              <w:t>（1）提供工作日5×8小时驻场服务（1人），根据采购人要求提供重要时期现场值守服务，并为技术维护岗设置双人A、B角色互为备份，全年24小时实时电话响应。</w:t>
            </w:r>
          </w:p>
          <w:p>
            <w:pPr>
              <w:pStyle w:val="null3"/>
            </w:pPr>
            <w:r>
              <w:rPr>
                <w:rFonts w:ascii="仿宋_GB2312" w:hAnsi="仿宋_GB2312" w:cs="仿宋_GB2312" w:eastAsia="仿宋_GB2312"/>
              </w:rPr>
              <w:t>（2）对本次范围内维护的系统设备可能随时发生的一般故障，在接到故障申告时起，工作日5×8小时内5分钟响应，非工作日1小时内到达省厅应急指挥中心，紧急故障在接到故障申告后30分钟内到达省厅应急指挥中心。</w:t>
            </w:r>
          </w:p>
          <w:p>
            <w:pPr>
              <w:pStyle w:val="null3"/>
            </w:pPr>
            <w:r>
              <w:rPr>
                <w:rFonts w:ascii="仿宋_GB2312" w:hAnsi="仿宋_GB2312" w:cs="仿宋_GB2312" w:eastAsia="仿宋_GB2312"/>
              </w:rPr>
              <w:t>（3）供应商到达故障现场时起，故障诊断时间不超过1小时。非运营商链路中断造成的故障，系统恢复运行时间不超过2小时（故障点在西安市以外地区的，在省厅应急指挥中心无法解决故障的，48小时内到达故障现场并恢复系统运行）。</w:t>
            </w:r>
          </w:p>
          <w:p>
            <w:pPr>
              <w:pStyle w:val="null3"/>
            </w:pPr>
            <w:r>
              <w:rPr>
                <w:rFonts w:ascii="仿宋_GB2312" w:hAnsi="仿宋_GB2312" w:cs="仿宋_GB2312" w:eastAsia="仿宋_GB2312"/>
              </w:rPr>
              <w:t>（4）硬件设备故障返厂维修时间不得超过14天，设备维修到现场后，安装作业时间不超过2小时。</w:t>
            </w:r>
          </w:p>
          <w:p>
            <w:pPr>
              <w:pStyle w:val="null3"/>
            </w:pPr>
            <w:r>
              <w:rPr>
                <w:rFonts w:ascii="仿宋_GB2312" w:hAnsi="仿宋_GB2312" w:cs="仿宋_GB2312" w:eastAsia="仿宋_GB2312"/>
              </w:rPr>
              <w:t>5.服务期：2026年7月3至2027年7月2日。</w:t>
            </w:r>
          </w:p>
          <w:p>
            <w:pPr>
              <w:pStyle w:val="null3"/>
            </w:pPr>
            <w:r>
              <w:rPr>
                <w:rFonts w:ascii="仿宋_GB2312" w:hAnsi="仿宋_GB2312" w:cs="仿宋_GB2312" w:eastAsia="仿宋_GB2312"/>
              </w:rPr>
              <w:t>四、其它要求</w:t>
            </w:r>
          </w:p>
          <w:p>
            <w:pPr>
              <w:pStyle w:val="null3"/>
            </w:pPr>
            <w:r>
              <w:rPr>
                <w:rFonts w:ascii="仿宋_GB2312" w:hAnsi="仿宋_GB2312" w:cs="仿宋_GB2312" w:eastAsia="仿宋_GB2312"/>
              </w:rPr>
              <w:t>1、运维单位须参加考核，按照《陕西省交通运行监测中心信息化系统运维服务考核办法》执行。</w:t>
            </w:r>
          </w:p>
          <w:p>
            <w:pPr>
              <w:pStyle w:val="null3"/>
            </w:pPr>
            <w:r>
              <w:rPr>
                <w:rFonts w:ascii="仿宋_GB2312" w:hAnsi="仿宋_GB2312" w:cs="仿宋_GB2312" w:eastAsia="仿宋_GB2312"/>
              </w:rPr>
              <w:t>2、合同期满，项目必须通过验收。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2026年7月3至2027年7月2日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2026年7月3至2027年7月2日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1、运维单位须参加考核，按照《陕西省交通运行监测中心信息化系统运维服务考核办法》执行。 2、合同期满，项目必须通过验收。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1、运维单位须参加考核，按照《陕西省交通运行监测中心信息化系统运维服务考核办法》执行。 2、合同期满，项目必须通过验收。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其他，合同签订后供应商提供相应发票，采购人收到供应商的发票后，达到付款条件起14个工作日内，支付合同总金额的100.0%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其他，合同签订后供应商提供相应发票，采购人收到供应商的发票后，达到付款条件起14个工作日内，支付合同总金额的100.0%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报价一览表包1.docx 报价表 分项报价表包1.docx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运维服务方案包1.docx 商务偏离表包1.docx 中小企业声明函 报价一览表包1.docx 分项报价表包1.docx 服务偏离表包1.docx 定期巡检及软件升级方案包1.docx 响应文件封面 质量保障措施包1.docx 应急演练及重要活动保障方案包1.docx 资格证明文件包1.docx 供应商认为有必要说明的其他资料包1.docx 残疾人福利性单位声明函 标的清单 项目管理体系及人员配备方案包1.docx 响应函 项目进度安排方案包1.docx 保证金缴纳凭证包1.docx 监狱企业的证明文件 项目理解及难点分析包1.docx 保密方案包1.docx 企业服务能力包1.docx 类似项目业绩包1.docx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报价一览表包1.docx 分项报价表包1.docx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运维服务方案包1.docx 商务偏离表包1.docx 中小企业声明函 报价一览表包1.docx 分项报价表包1.docx 服务偏离表包1.docx 定期巡检及软件升级方案包1.docx 响应文件封面 质量保障措施包1.docx 应急演练及重要活动保障方案包1.docx 资格证明文件包1.docx 供应商认为有必要说明的其他资料包1.docx 残疾人福利性单位声明函 标的清单 项目管理体系及人员配备方案包1.docx 响应函 项目进度安排方案包1.docx 保证金缴纳凭证包1.docx 监狱企业的证明文件 项目理解及难点分析包1.docx 保密方案包1.docx 企业服务能力包1.docx 类似项目业绩包1.docx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运维服务方案包1.docx 商务偏离表包1.docx 中小企业声明函 报价一览表包1.docx 分项报价表包1.docx 服务偏离表包1.docx 定期巡检及软件升级方案包1.docx 响应文件封面 质量保障措施包1.docx 应急演练及重要活动保障方案包1.docx 资格证明文件包1.docx 供应商认为有必要说明的其他资料包1.docx 残疾人福利性单位声明函 标的清单 项目管理体系及人员配备方案包1.docx 响应函 项目进度安排方案包1.docx 保证金缴纳凭证包1.docx 监狱企业的证明文件 项目理解及难点分析包1.docx 保密方案包1.docx 企业服务能力包1.docx 类似项目业绩包1.docx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报价一览表包2.docx 分项报价表包2.docx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保密方案包2.docx 报价一览表包2.docx 类似项目业绩包2.docx 项目进度安排方案包2.docx 中小企业声明函 质量保障措施包2.docx 企业服务能力包2.docx 运维服务方案包2.docx 项目管理体系及人员配备方案包2.docx 供应商认为有必要说明的其他资料包2.docx 响应文件封面 分项报价表包2.docx 项目理解及难点分析包2.docx 服务偏离表包2.docx 保证金缴纳凭证包2.docx 残疾人福利性单位声明函 应急演练及重要活动保障方案包2.docx 标的清单 商务偏离表包2.docx 硬件故障解决方案包2.docx 响应函 监狱企业的证明文件 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报价一览表包2.docx 分项报价表包2.docx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保密方案包2.docx 报价一览表包2.docx 类似项目业绩包2.docx 项目进度安排方案包2.docx 中小企业声明函 质量保障措施包2.docx 企业服务能力包2.docx 运维服务方案包2.docx 项目管理体系及人员配备方案包2.docx 供应商认为有必要说明的其他资料包2.docx 响应文件封面 分项报价表包2.docx 项目理解及难点分析包2.docx 服务偏离表包2.docx 保证金缴纳凭证包2.docx 残疾人福利性单位声明函 应急演练及重要活动保障方案包2.docx 标的清单 商务偏离表包2.docx 硬件故障解决方案包2.docx 响应函 监狱企业的证明文件 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保密方案包2.docx 报价一览表包2.docx 类似项目业绩包2.docx 项目进度安排方案包2.docx 中小企业声明函 质量保障措施包2.docx 企业服务能力包2.docx 运维服务方案包2.docx 项目管理体系及人员配备方案包2.docx 供应商认为有必要说明的其他资料包2.docx 响应文件封面 分项报价表包2.docx 项目理解及难点分析包2.docx 服务偏离表包2.docx 保证金缴纳凭证包2.docx 残疾人福利性单位声明函 应急演练及重要活动保障方案包2.docx 标的清单 商务偏离表包2.docx 硬件故障解决方案包2.docx 响应函 监狱企业的证明文件 资格证明文件包2.docx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项目理解及难点分析</w:t>
            </w:r>
          </w:p>
        </w:tc>
        <w:tc>
          <w:tcPr>
            <w:tcW w:type="dxa" w:w="2492"/>
          </w:tcPr>
          <w:p>
            <w:pPr>
              <w:pStyle w:val="null3"/>
            </w:pPr>
            <w:r>
              <w:rPr>
                <w:rFonts w:ascii="仿宋_GB2312" w:hAnsi="仿宋_GB2312" w:cs="仿宋_GB2312" w:eastAsia="仿宋_GB2312"/>
              </w:rPr>
              <w:t>针对本项目提供完善的项目理解及难点分析，包括但不限于：①项目背景、项目现状理解、项目需求分析；②项目涉及的关键、重点、难点技术问题分析及应对措施。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项目理解及难点分析包1.docx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完善的运维服务方案，包括但不限于：①整体维护方案（软件系统、虚拟服务器）；②数据监测及问题处理方案；③软件故障诊断、分析、排除，性能问题优化方案；④系统安全防护方案；⑤数据备份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运维服务方案包1.docx</w:t>
            </w:r>
          </w:p>
        </w:tc>
      </w:tr>
      <w:tr>
        <w:tc>
          <w:tcPr>
            <w:tcW w:type="dxa" w:w="831"/>
            <w:vMerge/>
          </w:tcPr>
          <w:p/>
        </w:tc>
        <w:tc>
          <w:tcPr>
            <w:tcW w:type="dxa" w:w="1661"/>
          </w:tcPr>
          <w:p>
            <w:pPr>
              <w:pStyle w:val="null3"/>
            </w:pPr>
            <w:r>
              <w:rPr>
                <w:rFonts w:ascii="仿宋_GB2312" w:hAnsi="仿宋_GB2312" w:cs="仿宋_GB2312" w:eastAsia="仿宋_GB2312"/>
              </w:rPr>
              <w:t>定期巡检及软件升级方案</w:t>
            </w:r>
          </w:p>
        </w:tc>
        <w:tc>
          <w:tcPr>
            <w:tcW w:type="dxa" w:w="2492"/>
          </w:tcPr>
          <w:p>
            <w:pPr>
              <w:pStyle w:val="null3"/>
            </w:pPr>
            <w:r>
              <w:rPr>
                <w:rFonts w:ascii="仿宋_GB2312" w:hAnsi="仿宋_GB2312" w:cs="仿宋_GB2312" w:eastAsia="仿宋_GB2312"/>
              </w:rPr>
              <w:t>针对本项目提供完善的定期巡检及软件升级方案，包括但不限于：①巡检方式及方法；②巡检内容及问题汇报机制；③软件现状梳理及系统优化方案；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定期巡检及软件升级方案包1.docx</w:t>
            </w:r>
          </w:p>
        </w:tc>
      </w:tr>
      <w:tr>
        <w:tc>
          <w:tcPr>
            <w:tcW w:type="dxa" w:w="831"/>
            <w:vMerge/>
          </w:tcPr>
          <w:p/>
        </w:tc>
        <w:tc>
          <w:tcPr>
            <w:tcW w:type="dxa" w:w="1661"/>
          </w:tcPr>
          <w:p>
            <w:pPr>
              <w:pStyle w:val="null3"/>
            </w:pPr>
            <w:r>
              <w:rPr>
                <w:rFonts w:ascii="仿宋_GB2312" w:hAnsi="仿宋_GB2312" w:cs="仿宋_GB2312" w:eastAsia="仿宋_GB2312"/>
              </w:rPr>
              <w:t>项目进度安排方案</w:t>
            </w:r>
          </w:p>
        </w:tc>
        <w:tc>
          <w:tcPr>
            <w:tcW w:type="dxa" w:w="2492"/>
          </w:tcPr>
          <w:p>
            <w:pPr>
              <w:pStyle w:val="null3"/>
            </w:pPr>
            <w:r>
              <w:rPr>
                <w:rFonts w:ascii="仿宋_GB2312" w:hAnsi="仿宋_GB2312" w:cs="仿宋_GB2312" w:eastAsia="仿宋_GB2312"/>
              </w:rPr>
              <w:t>针对本项目提供完善的项目进度安排方案，包括但不限于：①项目实施步骤及管理方案；②服务期内各项工作进度计划及安排；③服务期内各项工作和关键节点保障措施；④运维报告交付及验收方案。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项目进度安排方案包1.docx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针对本项目提供完善的质量保障措施，包括但不限于：①项目实施过程中的质量保障措施；②系统数据安全保障措施；③服务质量保障；④供应商服务承诺（包括服务响应时间、故障问题解决时限等）；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质量保障措施包1.docx</w:t>
            </w:r>
          </w:p>
        </w:tc>
      </w:tr>
      <w:tr>
        <w:tc>
          <w:tcPr>
            <w:tcW w:type="dxa" w:w="831"/>
            <w:vMerge/>
          </w:tcPr>
          <w:p/>
        </w:tc>
        <w:tc>
          <w:tcPr>
            <w:tcW w:type="dxa" w:w="1661"/>
          </w:tcPr>
          <w:p>
            <w:pPr>
              <w:pStyle w:val="null3"/>
            </w:pPr>
            <w:r>
              <w:rPr>
                <w:rFonts w:ascii="仿宋_GB2312" w:hAnsi="仿宋_GB2312" w:cs="仿宋_GB2312" w:eastAsia="仿宋_GB2312"/>
              </w:rPr>
              <w:t>应急演练及重要活动保障方案</w:t>
            </w:r>
          </w:p>
        </w:tc>
        <w:tc>
          <w:tcPr>
            <w:tcW w:type="dxa" w:w="2492"/>
          </w:tcPr>
          <w:p>
            <w:pPr>
              <w:pStyle w:val="null3"/>
            </w:pPr>
            <w:r>
              <w:rPr>
                <w:rFonts w:ascii="仿宋_GB2312" w:hAnsi="仿宋_GB2312" w:cs="仿宋_GB2312" w:eastAsia="仿宋_GB2312"/>
              </w:rPr>
              <w:t>针对本项目提供完善的应急演练及重要活动保障方案，包括但不限于：①应急演练与日常演示配合方案；②重大活动或事件驻场保障方案；③遇突发情况或临时任务时的保障服务方案。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应急演练及重要活动保障方案包1.docx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针对本项目采购需求提供项目管理体系及人员配备方案，包括但不限于：①项目管理体系及人员管理制度；②实施组织机构划分、人员经验；③驻场人员安排方案、岗位分工及职责任务。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项目管理体系及人员配备方案包1.docx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针对本项目提供完善的保密方案，包括但不限于：①数据、资料及成果的保密方案；②完善的保密管理制度。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保密方案包1.docx</w:t>
            </w:r>
          </w:p>
        </w:tc>
      </w:tr>
      <w:tr>
        <w:tc>
          <w:tcPr>
            <w:tcW w:type="dxa" w:w="831"/>
            <w:vMerge/>
          </w:tcPr>
          <w:p/>
        </w:tc>
        <w:tc>
          <w:tcPr>
            <w:tcW w:type="dxa" w:w="1661"/>
          </w:tcPr>
          <w:p>
            <w:pPr>
              <w:pStyle w:val="null3"/>
            </w:pPr>
            <w:r>
              <w:rPr>
                <w:rFonts w:ascii="仿宋_GB2312" w:hAnsi="仿宋_GB2312" w:cs="仿宋_GB2312" w:eastAsia="仿宋_GB2312"/>
              </w:rPr>
              <w:t>企业服务能力</w:t>
            </w:r>
          </w:p>
        </w:tc>
        <w:tc>
          <w:tcPr>
            <w:tcW w:type="dxa" w:w="2492"/>
          </w:tcPr>
          <w:p>
            <w:pPr>
              <w:pStyle w:val="null3"/>
            </w:pPr>
            <w:r>
              <w:rPr>
                <w:rFonts w:ascii="仿宋_GB2312" w:hAnsi="仿宋_GB2312" w:cs="仿宋_GB2312" w:eastAsia="仿宋_GB2312"/>
              </w:rPr>
              <w:t>供应商具有信息技术服务管理体系认证证书得1分；供应商具有信息安全管理体系认证证书得1分；未提供不得分。 注：须提供有效的认证证书的复印件或扫描件。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企业服务能力包1.docx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自2023年1月1日以来（以合同签订时间为准），供应商承担过类似项目业绩，每提供一个项目业绩得2分，最高得10分。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报价一览表包1.docx</w:t>
            </w:r>
          </w:p>
          <w:p>
            <w:pPr>
              <w:pStyle w:val="null3"/>
            </w:pPr>
            <w:r>
              <w:rPr>
                <w:rFonts w:ascii="仿宋_GB2312" w:hAnsi="仿宋_GB2312" w:cs="仿宋_GB2312" w:eastAsia="仿宋_GB2312"/>
              </w:rPr>
              <w:t>分项报价表包1.docx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分项报价表包1.docx</w:t>
            </w:r>
          </w:p>
          <w:p>
            <w:pPr>
              <w:pStyle w:val="null3"/>
            </w:pPr>
            <w:r>
              <w:rPr>
                <w:rFonts w:ascii="仿宋_GB2312" w:hAnsi="仿宋_GB2312" w:cs="仿宋_GB2312" w:eastAsia="仿宋_GB2312"/>
              </w:rPr>
              <w:t>报价一览表包1.docx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项目理解及难点分析</w:t>
            </w:r>
          </w:p>
        </w:tc>
        <w:tc>
          <w:tcPr>
            <w:tcW w:type="dxa" w:w="2492"/>
          </w:tcPr>
          <w:p>
            <w:pPr>
              <w:pStyle w:val="null3"/>
            </w:pPr>
            <w:r>
              <w:rPr>
                <w:rFonts w:ascii="仿宋_GB2312" w:hAnsi="仿宋_GB2312" w:cs="仿宋_GB2312" w:eastAsia="仿宋_GB2312"/>
              </w:rPr>
              <w:t>针对本项目提供完善的项目理解及难点分析，包括但不限于：①项目背景、项目现状理解、项目需求分析；②项目涉及的关键、重点、难点技术问题分析及应对措施。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项目理解及难点分析包2.docx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完善的运维服务方案，包括但不限于：①整体维护方案（硬件设备、软件系统、虚拟服务器）；②系统及设备运维计划；③运维工作具体内容；④设备运行日志分析及问题解决方案；⑤技术专家选择及检测内容；⑥设备、机箱清洁方案；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运维服务方案包2.docx</w:t>
            </w:r>
          </w:p>
        </w:tc>
      </w:tr>
      <w:tr>
        <w:tc>
          <w:tcPr>
            <w:tcW w:type="dxa" w:w="831"/>
            <w:vMerge/>
          </w:tcPr>
          <w:p/>
        </w:tc>
        <w:tc>
          <w:tcPr>
            <w:tcW w:type="dxa" w:w="1661"/>
          </w:tcPr>
          <w:p>
            <w:pPr>
              <w:pStyle w:val="null3"/>
            </w:pPr>
            <w:r>
              <w:rPr>
                <w:rFonts w:ascii="仿宋_GB2312" w:hAnsi="仿宋_GB2312" w:cs="仿宋_GB2312" w:eastAsia="仿宋_GB2312"/>
              </w:rPr>
              <w:t>硬件故障解决方案</w:t>
            </w:r>
          </w:p>
        </w:tc>
        <w:tc>
          <w:tcPr>
            <w:tcW w:type="dxa" w:w="2492"/>
          </w:tcPr>
          <w:p>
            <w:pPr>
              <w:pStyle w:val="null3"/>
            </w:pPr>
            <w:r>
              <w:rPr>
                <w:rFonts w:ascii="仿宋_GB2312" w:hAnsi="仿宋_GB2312" w:cs="仿宋_GB2312" w:eastAsia="仿宋_GB2312"/>
              </w:rPr>
              <w:t>针对本项目提供完善的硬件故障解决方案，包括但不限于：①备品备件；②故障设备的维修、安装时限；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硬件故障解决方案包2.docx</w:t>
            </w:r>
          </w:p>
        </w:tc>
      </w:tr>
      <w:tr>
        <w:tc>
          <w:tcPr>
            <w:tcW w:type="dxa" w:w="831"/>
            <w:vMerge/>
          </w:tcPr>
          <w:p/>
        </w:tc>
        <w:tc>
          <w:tcPr>
            <w:tcW w:type="dxa" w:w="1661"/>
          </w:tcPr>
          <w:p>
            <w:pPr>
              <w:pStyle w:val="null3"/>
            </w:pPr>
            <w:r>
              <w:rPr>
                <w:rFonts w:ascii="仿宋_GB2312" w:hAnsi="仿宋_GB2312" w:cs="仿宋_GB2312" w:eastAsia="仿宋_GB2312"/>
              </w:rPr>
              <w:t>项目进度安排方案</w:t>
            </w:r>
          </w:p>
        </w:tc>
        <w:tc>
          <w:tcPr>
            <w:tcW w:type="dxa" w:w="2492"/>
          </w:tcPr>
          <w:p>
            <w:pPr>
              <w:pStyle w:val="null3"/>
            </w:pPr>
            <w:r>
              <w:rPr>
                <w:rFonts w:ascii="仿宋_GB2312" w:hAnsi="仿宋_GB2312" w:cs="仿宋_GB2312" w:eastAsia="仿宋_GB2312"/>
              </w:rPr>
              <w:t>针对本项目提供完善的项目进度安排方案，包括但不限于：①项目实施步骤及管理方案；②服务期内各项工作进度计划及安排；③服务期内各项工作和关键节点保障措施；④运维报告交付及验收方案。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项目进度安排方案包2.docx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针对本项目提供完善的质量保障措施，包括但不限于：①项目实施过程中的质量保障措施；②系统数据安全保障措施；③服务质量保障；④供应商服务承诺（包括服务响应时间、故障问题解决时限等）；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质量保障措施包2.docx</w:t>
            </w:r>
          </w:p>
        </w:tc>
      </w:tr>
      <w:tr>
        <w:tc>
          <w:tcPr>
            <w:tcW w:type="dxa" w:w="831"/>
            <w:vMerge/>
          </w:tcPr>
          <w:p/>
        </w:tc>
        <w:tc>
          <w:tcPr>
            <w:tcW w:type="dxa" w:w="1661"/>
          </w:tcPr>
          <w:p>
            <w:pPr>
              <w:pStyle w:val="null3"/>
            </w:pPr>
            <w:r>
              <w:rPr>
                <w:rFonts w:ascii="仿宋_GB2312" w:hAnsi="仿宋_GB2312" w:cs="仿宋_GB2312" w:eastAsia="仿宋_GB2312"/>
              </w:rPr>
              <w:t>应急演练及重要活动保障方案</w:t>
            </w:r>
          </w:p>
        </w:tc>
        <w:tc>
          <w:tcPr>
            <w:tcW w:type="dxa" w:w="2492"/>
          </w:tcPr>
          <w:p>
            <w:pPr>
              <w:pStyle w:val="null3"/>
            </w:pPr>
            <w:r>
              <w:rPr>
                <w:rFonts w:ascii="仿宋_GB2312" w:hAnsi="仿宋_GB2312" w:cs="仿宋_GB2312" w:eastAsia="仿宋_GB2312"/>
              </w:rPr>
              <w:t>针对本项目提供完善的应急演练及重要活动保障方案，包括但不限于：①应急演练与日常演示配合方案；②重大活动或事件驻场保障方案；③遇突发情况或临时任务时的保障服务方案。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应急演练及重要活动保障方案包2.docx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针对本项目采购需求提供项目管理体系及人员配备方案，包括但不限于：①项目管理体系及人员管理制度；②实施组织机构划分、人员经验；③驻场人员安排方案、岗位分工及职责任务。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项目管理体系及人员配备方案包2.docx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针对本项目提供完善的保密方案，包括但不限于：①数据、资料及成果的保密方案；②完善的保密管理制度。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 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保密方案包2.docx</w:t>
            </w:r>
          </w:p>
        </w:tc>
      </w:tr>
      <w:tr>
        <w:tc>
          <w:tcPr>
            <w:tcW w:type="dxa" w:w="831"/>
            <w:vMerge/>
          </w:tcPr>
          <w:p/>
        </w:tc>
        <w:tc>
          <w:tcPr>
            <w:tcW w:type="dxa" w:w="1661"/>
          </w:tcPr>
          <w:p>
            <w:pPr>
              <w:pStyle w:val="null3"/>
            </w:pPr>
            <w:r>
              <w:rPr>
                <w:rFonts w:ascii="仿宋_GB2312" w:hAnsi="仿宋_GB2312" w:cs="仿宋_GB2312" w:eastAsia="仿宋_GB2312"/>
              </w:rPr>
              <w:t>企业服务能力</w:t>
            </w:r>
          </w:p>
        </w:tc>
        <w:tc>
          <w:tcPr>
            <w:tcW w:type="dxa" w:w="2492"/>
          </w:tcPr>
          <w:p>
            <w:pPr>
              <w:pStyle w:val="null3"/>
            </w:pPr>
            <w:r>
              <w:rPr>
                <w:rFonts w:ascii="仿宋_GB2312" w:hAnsi="仿宋_GB2312" w:cs="仿宋_GB2312" w:eastAsia="仿宋_GB2312"/>
              </w:rPr>
              <w:t>供应商具有信息技术服务管理体系认证证书得1分；供应商具有信息安全管理体系认证证书得1分；未提供不得分。 注：须提供有效的认证证书的复印件或扫描件。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企业服务能力包2.docx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自2023年1月1日以来（以合同签订时间为准），供应商承担过类似项目业绩，每提供一个项目业绩得2分，最高得10分。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p>
            <w:pPr>
              <w:pStyle w:val="null3"/>
            </w:pPr>
            <w:r>
              <w:rPr>
                <w:rFonts w:ascii="仿宋_GB2312" w:hAnsi="仿宋_GB2312" w:cs="仿宋_GB2312" w:eastAsia="仿宋_GB2312"/>
              </w:rPr>
              <w:t>分项报价表包2.docx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p>
            <w:pPr>
              <w:pStyle w:val="null3"/>
            </w:pPr>
            <w:r>
              <w:rPr>
                <w:rFonts w:ascii="仿宋_GB2312" w:hAnsi="仿宋_GB2312" w:cs="仿宋_GB2312" w:eastAsia="仿宋_GB2312"/>
              </w:rPr>
              <w:t>分项报价表包2.docx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详见附件：报价一览表包1.docx</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详见附件：项目理解及难点分析包1.docx</w:t>
      </w:r>
    </w:p>
    <w:p>
      <w:pPr>
        <w:pStyle w:val="null3"/>
        <w:ind w:firstLine="960"/>
      </w:pPr>
      <w:r>
        <w:rPr>
          <w:rFonts w:ascii="仿宋_GB2312" w:hAnsi="仿宋_GB2312" w:cs="仿宋_GB2312" w:eastAsia="仿宋_GB2312"/>
        </w:rPr>
        <w:t>详见附件：运维服务方案包1.docx</w:t>
      </w:r>
    </w:p>
    <w:p>
      <w:pPr>
        <w:pStyle w:val="null3"/>
        <w:ind w:firstLine="960"/>
      </w:pPr>
      <w:r>
        <w:rPr>
          <w:rFonts w:ascii="仿宋_GB2312" w:hAnsi="仿宋_GB2312" w:cs="仿宋_GB2312" w:eastAsia="仿宋_GB2312"/>
        </w:rPr>
        <w:t>详见附件：定期巡检及软件升级方案包1.docx</w:t>
      </w:r>
    </w:p>
    <w:p>
      <w:pPr>
        <w:pStyle w:val="null3"/>
        <w:ind w:firstLine="960"/>
      </w:pPr>
      <w:r>
        <w:rPr>
          <w:rFonts w:ascii="仿宋_GB2312" w:hAnsi="仿宋_GB2312" w:cs="仿宋_GB2312" w:eastAsia="仿宋_GB2312"/>
        </w:rPr>
        <w:t>详见附件：项目进度安排方案包1.docx</w:t>
      </w:r>
    </w:p>
    <w:p>
      <w:pPr>
        <w:pStyle w:val="null3"/>
        <w:ind w:firstLine="960"/>
      </w:pPr>
      <w:r>
        <w:rPr>
          <w:rFonts w:ascii="仿宋_GB2312" w:hAnsi="仿宋_GB2312" w:cs="仿宋_GB2312" w:eastAsia="仿宋_GB2312"/>
        </w:rPr>
        <w:t>详见附件：质量保障措施包1.docx</w:t>
      </w:r>
    </w:p>
    <w:p>
      <w:pPr>
        <w:pStyle w:val="null3"/>
        <w:ind w:firstLine="960"/>
      </w:pPr>
      <w:r>
        <w:rPr>
          <w:rFonts w:ascii="仿宋_GB2312" w:hAnsi="仿宋_GB2312" w:cs="仿宋_GB2312" w:eastAsia="仿宋_GB2312"/>
        </w:rPr>
        <w:t>详见附件：应急演练及重要活动保障方案包1.docx</w:t>
      </w:r>
    </w:p>
    <w:p>
      <w:pPr>
        <w:pStyle w:val="null3"/>
        <w:ind w:firstLine="960"/>
      </w:pPr>
      <w:r>
        <w:rPr>
          <w:rFonts w:ascii="仿宋_GB2312" w:hAnsi="仿宋_GB2312" w:cs="仿宋_GB2312" w:eastAsia="仿宋_GB2312"/>
        </w:rPr>
        <w:t>详见附件：项目管理体系及人员配备方案包1.docx</w:t>
      </w:r>
    </w:p>
    <w:p>
      <w:pPr>
        <w:pStyle w:val="null3"/>
        <w:ind w:firstLine="960"/>
      </w:pPr>
      <w:r>
        <w:rPr>
          <w:rFonts w:ascii="仿宋_GB2312" w:hAnsi="仿宋_GB2312" w:cs="仿宋_GB2312" w:eastAsia="仿宋_GB2312"/>
        </w:rPr>
        <w:t>详见附件：保密方案包1.docx</w:t>
      </w:r>
    </w:p>
    <w:p>
      <w:pPr>
        <w:pStyle w:val="null3"/>
        <w:ind w:firstLine="960"/>
      </w:pPr>
      <w:r>
        <w:rPr>
          <w:rFonts w:ascii="仿宋_GB2312" w:hAnsi="仿宋_GB2312" w:cs="仿宋_GB2312" w:eastAsia="仿宋_GB2312"/>
        </w:rPr>
        <w:t>详见附件：企业服务能力包1.docx</w:t>
      </w:r>
    </w:p>
    <w:p>
      <w:pPr>
        <w:pStyle w:val="null3"/>
        <w:ind w:firstLine="960"/>
      </w:pPr>
      <w:r>
        <w:rPr>
          <w:rFonts w:ascii="仿宋_GB2312" w:hAnsi="仿宋_GB2312" w:cs="仿宋_GB2312" w:eastAsia="仿宋_GB2312"/>
        </w:rPr>
        <w:t>详见附件：类似项目业绩包1.docx</w:t>
      </w:r>
    </w:p>
    <w:p>
      <w:pPr>
        <w:pStyle w:val="null3"/>
        <w:ind w:firstLine="960"/>
      </w:pPr>
      <w:r>
        <w:rPr>
          <w:rFonts w:ascii="仿宋_GB2312" w:hAnsi="仿宋_GB2312" w:cs="仿宋_GB2312" w:eastAsia="仿宋_GB2312"/>
        </w:rPr>
        <w:t>详见附件：供应商认为有必要说明的其他资料包1.docx</w:t>
      </w:r>
    </w:p>
    <w:p>
      <w:pPr>
        <w:pStyle w:val="null3"/>
        <w:ind w:firstLine="960"/>
      </w:pPr>
      <w:r>
        <w:rPr>
          <w:rFonts w:ascii="仿宋_GB2312" w:hAnsi="仿宋_GB2312" w:cs="仿宋_GB2312" w:eastAsia="仿宋_GB2312"/>
        </w:rPr>
        <w:t>详见附件：保证金缴纳凭证包1.docx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详见附件：报价一览表包2.docx</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详见附件：项目理解及难点分析包2.docx</w:t>
      </w:r>
    </w:p>
    <w:p>
      <w:pPr>
        <w:pStyle w:val="null3"/>
        <w:ind w:firstLine="960"/>
      </w:pPr>
      <w:r>
        <w:rPr>
          <w:rFonts w:ascii="仿宋_GB2312" w:hAnsi="仿宋_GB2312" w:cs="仿宋_GB2312" w:eastAsia="仿宋_GB2312"/>
        </w:rPr>
        <w:t>详见附件：运维服务方案包2.docx</w:t>
      </w:r>
    </w:p>
    <w:p>
      <w:pPr>
        <w:pStyle w:val="null3"/>
        <w:ind w:firstLine="960"/>
      </w:pPr>
      <w:r>
        <w:rPr>
          <w:rFonts w:ascii="仿宋_GB2312" w:hAnsi="仿宋_GB2312" w:cs="仿宋_GB2312" w:eastAsia="仿宋_GB2312"/>
        </w:rPr>
        <w:t>详见附件：硬件故障解决方案包2.docx</w:t>
      </w:r>
    </w:p>
    <w:p>
      <w:pPr>
        <w:pStyle w:val="null3"/>
        <w:ind w:firstLine="960"/>
      </w:pPr>
      <w:r>
        <w:rPr>
          <w:rFonts w:ascii="仿宋_GB2312" w:hAnsi="仿宋_GB2312" w:cs="仿宋_GB2312" w:eastAsia="仿宋_GB2312"/>
        </w:rPr>
        <w:t>详见附件：项目进度安排方案包2.docx</w:t>
      </w:r>
    </w:p>
    <w:p>
      <w:pPr>
        <w:pStyle w:val="null3"/>
        <w:ind w:firstLine="960"/>
      </w:pPr>
      <w:r>
        <w:rPr>
          <w:rFonts w:ascii="仿宋_GB2312" w:hAnsi="仿宋_GB2312" w:cs="仿宋_GB2312" w:eastAsia="仿宋_GB2312"/>
        </w:rPr>
        <w:t>详见附件：质量保障措施包2.docx</w:t>
      </w:r>
    </w:p>
    <w:p>
      <w:pPr>
        <w:pStyle w:val="null3"/>
        <w:ind w:firstLine="960"/>
      </w:pPr>
      <w:r>
        <w:rPr>
          <w:rFonts w:ascii="仿宋_GB2312" w:hAnsi="仿宋_GB2312" w:cs="仿宋_GB2312" w:eastAsia="仿宋_GB2312"/>
        </w:rPr>
        <w:t>详见附件：应急演练及重要活动保障方案包2.docx</w:t>
      </w:r>
    </w:p>
    <w:p>
      <w:pPr>
        <w:pStyle w:val="null3"/>
        <w:ind w:firstLine="960"/>
      </w:pPr>
      <w:r>
        <w:rPr>
          <w:rFonts w:ascii="仿宋_GB2312" w:hAnsi="仿宋_GB2312" w:cs="仿宋_GB2312" w:eastAsia="仿宋_GB2312"/>
        </w:rPr>
        <w:t>详见附件：项目管理体系及人员配备方案包2.docx</w:t>
      </w:r>
    </w:p>
    <w:p>
      <w:pPr>
        <w:pStyle w:val="null3"/>
        <w:ind w:firstLine="960"/>
      </w:pPr>
      <w:r>
        <w:rPr>
          <w:rFonts w:ascii="仿宋_GB2312" w:hAnsi="仿宋_GB2312" w:cs="仿宋_GB2312" w:eastAsia="仿宋_GB2312"/>
        </w:rPr>
        <w:t>详见附件：保密方案包2.docx</w:t>
      </w:r>
    </w:p>
    <w:p>
      <w:pPr>
        <w:pStyle w:val="null3"/>
        <w:ind w:firstLine="960"/>
      </w:pPr>
      <w:r>
        <w:rPr>
          <w:rFonts w:ascii="仿宋_GB2312" w:hAnsi="仿宋_GB2312" w:cs="仿宋_GB2312" w:eastAsia="仿宋_GB2312"/>
        </w:rPr>
        <w:t>详见附件：企业服务能力包2.docx</w:t>
      </w:r>
    </w:p>
    <w:p>
      <w:pPr>
        <w:pStyle w:val="null3"/>
        <w:ind w:firstLine="960"/>
      </w:pPr>
      <w:r>
        <w:rPr>
          <w:rFonts w:ascii="仿宋_GB2312" w:hAnsi="仿宋_GB2312" w:cs="仿宋_GB2312" w:eastAsia="仿宋_GB2312"/>
        </w:rPr>
        <w:t>详见附件：类似项目业绩包2.docx</w:t>
      </w:r>
    </w:p>
    <w:p>
      <w:pPr>
        <w:pStyle w:val="null3"/>
        <w:ind w:firstLine="960"/>
      </w:pPr>
      <w:r>
        <w:rPr>
          <w:rFonts w:ascii="仿宋_GB2312" w:hAnsi="仿宋_GB2312" w:cs="仿宋_GB2312" w:eastAsia="仿宋_GB2312"/>
        </w:rPr>
        <w:t>详见附件：供应商认为有必要说明的其他资料包2.docx</w:t>
      </w:r>
    </w:p>
    <w:p>
      <w:pPr>
        <w:pStyle w:val="null3"/>
        <w:ind w:firstLine="960"/>
      </w:pPr>
      <w:r>
        <w:rPr>
          <w:rFonts w:ascii="仿宋_GB2312" w:hAnsi="仿宋_GB2312" w:cs="仿宋_GB2312" w:eastAsia="仿宋_GB2312"/>
        </w:rPr>
        <w:t>详见附件：保证金缴纳凭证包2.docx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