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版本号：KY2026-1-537.20260522005</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应急指挥调度能力提升项目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KY2026-1-537.</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应急指挥调度能力提升项目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应急指挥调度能力提升项目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陕西省应急管理厅应急指挥调度能力提升项目，1批，具体内容详见招标文件第三章。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029-61166043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温虎、牛佩文、刘金柯、吕江涛、卢韶华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说明：中标人应当在合同签订前缴纳至采购人指定账户，项目验收合格后一次性无息退还。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代理服务费收费标准：1、交费金额参照国家计委颁布的《招标代理服务收费管理暂行办法》（计价格[2002]1980号）规定的招标代理服务收费标准收取。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陕西省应急管理厅应急指挥调度能力提升项目，1批，具体内容详见技术要求。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7,800,000.00</w:t>
      </w:r>
    </w:p>
    <w:p>
      <w:pPr>
        <w:pStyle w:val="null3"/>
      </w:pPr>
      <w:r>
        <w:rPr>
          <w:rFonts w:ascii="仿宋_GB2312" w:hAnsi="仿宋_GB2312" w:cs="仿宋_GB2312" w:eastAsia="仿宋_GB2312"/>
        </w:rPr>
        <w:t>采购包最高限价（元）: 7,800,000.00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应急指挥调度能力提升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标的名称：应急指挥调度能力提升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jc w:val="both"/>
              <w:outlineLvl w:val="2"/>
            </w:pPr>
            <w:r>
              <w:rPr>
                <w:rFonts w:ascii="仿宋_GB2312" w:hAnsi="仿宋_GB2312" w:cs="仿宋_GB2312" w:eastAsia="仿宋_GB2312"/>
                <w:sz w:val="21"/>
                <w:b/>
                <w:color w:val="2E75B5"/>
              </w:rPr>
              <w:t>1、项目背景</w:t>
            </w:r>
          </w:p>
          <w:p>
            <w:pPr>
              <w:pStyle w:val="null3"/>
              <w:ind w:firstLine="420"/>
            </w:pPr>
            <w:r>
              <w:rPr>
                <w:rFonts w:ascii="仿宋_GB2312" w:hAnsi="仿宋_GB2312" w:cs="仿宋_GB2312" w:eastAsia="仿宋_GB2312"/>
                <w:sz w:val="21"/>
                <w:color w:val="000000"/>
              </w:rPr>
              <w:t>“十二五”期间</w:t>
            </w:r>
            <w:r>
              <w:rPr>
                <w:rFonts w:ascii="仿宋_GB2312" w:hAnsi="仿宋_GB2312" w:cs="仿宋_GB2312" w:eastAsia="仿宋_GB2312"/>
                <w:sz w:val="21"/>
                <w:color w:val="000000"/>
              </w:rPr>
              <w:t>，在全省</w:t>
            </w:r>
            <w:r>
              <w:rPr>
                <w:rFonts w:ascii="仿宋_GB2312" w:hAnsi="仿宋_GB2312" w:cs="仿宋_GB2312" w:eastAsia="仿宋_GB2312"/>
                <w:sz w:val="21"/>
                <w:color w:val="000000"/>
              </w:rPr>
              <w:t>10个设区市及延安、榆林、汉中、安康、商洛5个市所辖县（区）配置了应急移动指挥调度终端，有效提升了通信保障与突发事件应对能力。</w:t>
            </w:r>
          </w:p>
          <w:p>
            <w:pPr>
              <w:pStyle w:val="null3"/>
              <w:ind w:firstLine="420"/>
            </w:pPr>
            <w:r>
              <w:rPr>
                <w:rFonts w:ascii="仿宋_GB2312" w:hAnsi="仿宋_GB2312" w:cs="仿宋_GB2312" w:eastAsia="仿宋_GB2312"/>
                <w:sz w:val="21"/>
                <w:color w:val="000000"/>
              </w:rPr>
              <w:t>但近年来，随着气象变化影响，西安、宝鸡、咸阳、渭南市部分沿山县（区）灾害事故多发频发，安全风险显著增高。</w:t>
            </w:r>
          </w:p>
          <w:p>
            <w:pPr>
              <w:pStyle w:val="null3"/>
              <w:ind w:firstLine="420"/>
            </w:pPr>
            <w:r>
              <w:rPr>
                <w:rFonts w:ascii="仿宋_GB2312" w:hAnsi="仿宋_GB2312" w:cs="仿宋_GB2312" w:eastAsia="仿宋_GB2312"/>
                <w:sz w:val="21"/>
                <w:color w:val="000000"/>
              </w:rPr>
              <w:t>为持续加强应急指挥科技支撑，有力应对各类灾害事故，按照《</w:t>
            </w:r>
            <w:r>
              <w:rPr>
                <w:rFonts w:ascii="仿宋_GB2312" w:hAnsi="仿宋_GB2312" w:cs="仿宋_GB2312" w:eastAsia="仿宋_GB2312"/>
                <w:sz w:val="21"/>
                <w:color w:val="000000"/>
              </w:rPr>
              <w:t>“十四五”国家应急体系规划》及《应急管理部关于进一步完善应急指挥部体系的指导意见》要求，进一步推进我省各级应急指挥部体系建设，提升应急指挥能力，最大限度防范灾害事故、减轻损失。</w:t>
            </w:r>
          </w:p>
          <w:p>
            <w:pPr>
              <w:pStyle w:val="null3"/>
              <w:jc w:val="both"/>
              <w:outlineLvl w:val="2"/>
            </w:pPr>
            <w:r>
              <w:rPr>
                <w:rFonts w:ascii="仿宋_GB2312" w:hAnsi="仿宋_GB2312" w:cs="仿宋_GB2312" w:eastAsia="仿宋_GB2312"/>
                <w:sz w:val="21"/>
                <w:b/>
                <w:color w:val="2E75B5"/>
              </w:rPr>
              <w:t>2、建设目标</w:t>
            </w:r>
          </w:p>
          <w:p>
            <w:pPr>
              <w:pStyle w:val="null3"/>
              <w:ind w:firstLine="420"/>
            </w:pPr>
            <w:r>
              <w:rPr>
                <w:rFonts w:ascii="仿宋_GB2312" w:hAnsi="仿宋_GB2312" w:cs="仿宋_GB2312" w:eastAsia="仿宋_GB2312"/>
                <w:sz w:val="21"/>
                <w:color w:val="000000"/>
              </w:rPr>
              <w:t>本项目的建设是贯彻落实《</w:t>
            </w:r>
            <w:r>
              <w:rPr>
                <w:rFonts w:ascii="仿宋_GB2312" w:hAnsi="仿宋_GB2312" w:cs="仿宋_GB2312" w:eastAsia="仿宋_GB2312"/>
                <w:sz w:val="21"/>
                <w:color w:val="000000"/>
              </w:rPr>
              <w:t>“十四五”国家应急体系规划》等国家战略、构建权威高效应急指挥体系的必然要求，是打通应急指挥“最后一公里”的关键举措。</w:t>
            </w:r>
          </w:p>
          <w:p>
            <w:pPr>
              <w:pStyle w:val="null3"/>
              <w:ind w:firstLine="420"/>
            </w:pPr>
            <w:r>
              <w:rPr>
                <w:rFonts w:ascii="仿宋_GB2312" w:hAnsi="仿宋_GB2312" w:cs="仿宋_GB2312" w:eastAsia="仿宋_GB2312"/>
                <w:sz w:val="21"/>
                <w:color w:val="000000"/>
              </w:rPr>
              <w:t>面对我省地理环境复杂、自然灾害多发、安全风险交织的严峻形势，传统指挥模式存在信息碎片化、感知平面化、决策经验化等短板，难以满足复杂灾害事故应急处置的迫切需要。</w:t>
            </w:r>
          </w:p>
          <w:p>
            <w:pPr>
              <w:pStyle w:val="null3"/>
              <w:ind w:firstLine="420"/>
            </w:pPr>
            <w:r>
              <w:rPr>
                <w:rFonts w:ascii="仿宋_GB2312" w:hAnsi="仿宋_GB2312" w:cs="仿宋_GB2312" w:eastAsia="仿宋_GB2312"/>
                <w:sz w:val="21"/>
                <w:color w:val="000000"/>
              </w:rPr>
              <w:t>通过配备应急指挥调度移动终端，利用全省已有应急通信体系，建设以陕西省应急卫星专网通信为基础的现场采集系统、现场应急系统，打通应急指挥</w:t>
            </w:r>
            <w:r>
              <w:rPr>
                <w:rFonts w:ascii="仿宋_GB2312" w:hAnsi="仿宋_GB2312" w:cs="仿宋_GB2312" w:eastAsia="仿宋_GB2312"/>
                <w:sz w:val="21"/>
                <w:color w:val="000000"/>
              </w:rPr>
              <w:t>“最后一公里”，提升应急指挥调度与协同联动能力，构建“看得见、听得着、调得动、判得准”的智慧指挥中枢，从而最大限度防范化解风险、缩短响应时间、提升救援效能，切实保障人民群众生命财产安全。</w:t>
            </w:r>
          </w:p>
          <w:p>
            <w:pPr>
              <w:pStyle w:val="null3"/>
              <w:jc w:val="both"/>
              <w:outlineLvl w:val="2"/>
            </w:pPr>
            <w:r>
              <w:rPr>
                <w:rFonts w:ascii="仿宋_GB2312" w:hAnsi="仿宋_GB2312" w:cs="仿宋_GB2312" w:eastAsia="仿宋_GB2312"/>
                <w:sz w:val="21"/>
                <w:b/>
                <w:color w:val="2E75B5"/>
              </w:rPr>
              <w:t>3、建设内容</w:t>
            </w:r>
          </w:p>
          <w:p>
            <w:pPr>
              <w:pStyle w:val="null3"/>
              <w:ind w:firstLine="420"/>
              <w:jc w:val="both"/>
            </w:pPr>
            <w:r>
              <w:rPr>
                <w:rFonts w:ascii="仿宋_GB2312" w:hAnsi="仿宋_GB2312" w:cs="仿宋_GB2312" w:eastAsia="仿宋_GB2312"/>
                <w:sz w:val="21"/>
                <w:color w:val="000000"/>
              </w:rPr>
              <w:t>本项目建设内容包括：应急移动指挥调度终端、应急指挥调度管理平台。</w:t>
            </w:r>
          </w:p>
          <w:p>
            <w:pPr>
              <w:pStyle w:val="null3"/>
              <w:ind w:left="720"/>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应急移动指挥调度终端</w:t>
            </w:r>
          </w:p>
          <w:p>
            <w:pPr>
              <w:pStyle w:val="null3"/>
              <w:ind w:firstLine="420"/>
              <w:jc w:val="both"/>
            </w:pPr>
            <w:r>
              <w:rPr>
                <w:rFonts w:ascii="仿宋_GB2312" w:hAnsi="仿宋_GB2312" w:cs="仿宋_GB2312" w:eastAsia="仿宋_GB2312"/>
                <w:sz w:val="21"/>
                <w:color w:val="000000"/>
              </w:rPr>
              <w:t>在西安市（</w:t>
            </w:r>
            <w:r>
              <w:rPr>
                <w:rFonts w:ascii="仿宋_GB2312" w:hAnsi="仿宋_GB2312" w:cs="仿宋_GB2312" w:eastAsia="仿宋_GB2312"/>
                <w:sz w:val="21"/>
                <w:color w:val="000000"/>
              </w:rPr>
              <w:t>5个县区）长安区、鄠邑区、蓝田县、周至县、临潼区；宝鸡市（3个县区）太白县、凤县、眉县；咸阳市（5个县区）永寿县、彬州市、淳化县、长武县、旬邑县；渭南市（4个县区）华州区、华阴市、大荔县、澄城县，共计17个（县区）各配备1套应急移动指挥调度终端设备。</w:t>
            </w:r>
          </w:p>
          <w:p>
            <w:pPr>
              <w:pStyle w:val="null3"/>
              <w:ind w:firstLine="420"/>
              <w:jc w:val="both"/>
            </w:pPr>
            <w:r>
              <w:rPr>
                <w:rFonts w:ascii="仿宋_GB2312" w:hAnsi="仿宋_GB2312" w:cs="仿宋_GB2312" w:eastAsia="仿宋_GB2312"/>
                <w:sz w:val="21"/>
                <w:color w:val="000000"/>
              </w:rPr>
              <w:t>应急移动指挥调度终端包括卫星便携站、手持</w:t>
            </w:r>
            <w:r>
              <w:rPr>
                <w:rFonts w:ascii="仿宋_GB2312" w:hAnsi="仿宋_GB2312" w:cs="仿宋_GB2312" w:eastAsia="仿宋_GB2312"/>
                <w:sz w:val="21"/>
                <w:color w:val="000000"/>
              </w:rPr>
              <w:t>IP电话、</w:t>
            </w:r>
            <w:r>
              <w:rPr>
                <w:rFonts w:ascii="仿宋_GB2312" w:hAnsi="仿宋_GB2312" w:cs="仿宋_GB2312" w:eastAsia="仿宋_GB2312"/>
                <w:sz w:val="21"/>
                <w:color w:val="000000"/>
              </w:rPr>
              <w:t>视讯</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终端</w:t>
            </w:r>
            <w:r>
              <w:rPr>
                <w:rFonts w:ascii="仿宋_GB2312" w:hAnsi="仿宋_GB2312" w:cs="仿宋_GB2312" w:eastAsia="仿宋_GB2312"/>
                <w:sz w:val="21"/>
                <w:color w:val="000000"/>
              </w:rPr>
              <w:t>、配套电源和多模智能对讲机</w:t>
            </w:r>
            <w:r>
              <w:rPr>
                <w:rFonts w:ascii="仿宋_GB2312" w:hAnsi="仿宋_GB2312" w:cs="仿宋_GB2312" w:eastAsia="仿宋_GB2312"/>
                <w:sz w:val="21"/>
              </w:rPr>
              <w:t>。</w:t>
            </w:r>
          </w:p>
          <w:p>
            <w:pPr>
              <w:pStyle w:val="null3"/>
              <w:ind w:left="720"/>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应急指挥调度管理平台</w:t>
            </w:r>
          </w:p>
          <w:p>
            <w:pPr>
              <w:pStyle w:val="null3"/>
              <w:ind w:firstLine="420"/>
              <w:jc w:val="both"/>
            </w:pPr>
            <w:r>
              <w:rPr>
                <w:rFonts w:ascii="仿宋_GB2312" w:hAnsi="仿宋_GB2312" w:cs="仿宋_GB2312" w:eastAsia="仿宋_GB2312"/>
                <w:sz w:val="21"/>
                <w:color w:val="000000"/>
              </w:rPr>
              <w:t>在陕西省应急管理厅建设</w:t>
            </w:r>
            <w:r>
              <w:rPr>
                <w:rFonts w:ascii="仿宋_GB2312" w:hAnsi="仿宋_GB2312" w:cs="仿宋_GB2312" w:eastAsia="仿宋_GB2312"/>
                <w:sz w:val="21"/>
                <w:color w:val="000000"/>
              </w:rPr>
              <w:t>1套应急指挥调度管理平台，整合陕西省应急管理厅已建和新建的应急移动指挥调度终端，实现统一管理并调度指挥。</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设备购置清单及要求</w:t>
            </w:r>
          </w:p>
          <w:p>
            <w:pPr>
              <w:pStyle w:val="null3"/>
              <w:jc w:val="both"/>
            </w:pPr>
            <w:r>
              <w:rPr>
                <w:rFonts w:ascii="仿宋_GB2312" w:hAnsi="仿宋_GB2312" w:cs="仿宋_GB2312" w:eastAsia="仿宋_GB2312"/>
                <w:sz w:val="21"/>
              </w:rPr>
              <w:t>1、设备购置清单</w:t>
            </w:r>
          </w:p>
          <w:tbl>
            <w:tblPr>
              <w:tblBorders>
                <w:top w:val="none" w:color="000000" w:sz="4"/>
                <w:left w:val="none" w:color="000000" w:sz="4"/>
                <w:bottom w:val="none" w:color="000000" w:sz="4"/>
                <w:right w:val="none" w:color="000000" w:sz="4"/>
                <w:insideH w:val="none"/>
                <w:insideV w:val="none"/>
              </w:tblBorders>
            </w:tblPr>
            <w:tblGrid>
              <w:gridCol w:w="235"/>
              <w:gridCol w:w="918"/>
              <w:gridCol w:w="405"/>
              <w:gridCol w:w="367"/>
              <w:gridCol w:w="617"/>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一、应急移动指挥调度终端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卫星便携站</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手持</w:t>
                  </w:r>
                  <w:r>
                    <w:rPr>
                      <w:rFonts w:ascii="仿宋_GB2312" w:hAnsi="仿宋_GB2312" w:cs="仿宋_GB2312" w:eastAsia="仿宋_GB2312"/>
                      <w:sz w:val="21"/>
                    </w:rPr>
                    <w:t>IP电话</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视讯软件终端</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供电电源</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多模智能对讲机</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二、应急指挥调度管理平台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应急指挥调度管理平台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2、技术要求</w:t>
            </w:r>
          </w:p>
          <w:tbl>
            <w:tblPr>
              <w:tblInd w:type="dxa" w:w="120"/>
              <w:tblBorders>
                <w:top w:val="none" w:color="000000" w:sz="4"/>
                <w:left w:val="none" w:color="000000" w:sz="4"/>
                <w:bottom w:val="none" w:color="000000" w:sz="4"/>
                <w:right w:val="none" w:color="000000" w:sz="4"/>
                <w:insideH w:val="none"/>
                <w:insideV w:val="none"/>
              </w:tblBorders>
            </w:tblPr>
            <w:tblGrid>
              <w:gridCol w:w="194"/>
              <w:gridCol w:w="341"/>
              <w:gridCol w:w="1600"/>
              <w:gridCol w:w="208"/>
              <w:gridCol w:w="194"/>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招标参数</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应急移动指挥调度终端</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卫星便携站</w:t>
                  </w:r>
                </w:p>
              </w:tc>
              <w:tc>
                <w:tcPr>
                  <w:tcW w:type="dxa" w:w="1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1"/>
                    </w:rPr>
                    <w:t>天线形式：正馈抛物面天线；</w:t>
                  </w:r>
                </w:p>
                <w:p>
                  <w:pPr>
                    <w:pStyle w:val="null3"/>
                    <w:jc w:val="both"/>
                  </w:pPr>
                  <w:r>
                    <w:rPr>
                      <w:rFonts w:ascii="仿宋_GB2312" w:hAnsi="仿宋_GB2312" w:cs="仿宋_GB2312" w:eastAsia="仿宋_GB2312"/>
                      <w:sz w:val="21"/>
                    </w:rPr>
                    <w:t>2）反射面材质：一体式碳纤维反射面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1"/>
                    </w:rPr>
                    <w:t>等效口径：</w:t>
                  </w:r>
                  <w:r>
                    <w:rPr>
                      <w:rFonts w:ascii="仿宋_GB2312" w:hAnsi="仿宋_GB2312" w:cs="仿宋_GB2312" w:eastAsia="仿宋_GB2312"/>
                      <w:sz w:val="21"/>
                    </w:rPr>
                    <w:t>≥0.45米；</w:t>
                  </w:r>
                </w:p>
                <w:p>
                  <w:pPr>
                    <w:pStyle w:val="null3"/>
                    <w:jc w:val="both"/>
                  </w:pPr>
                  <w:r>
                    <w:rPr>
                      <w:rFonts w:ascii="仿宋_GB2312" w:hAnsi="仿宋_GB2312" w:cs="仿宋_GB2312" w:eastAsia="仿宋_GB2312"/>
                      <w:sz w:val="21"/>
                    </w:rPr>
                    <w:t>4）发射频段：13.75～14.50GHz；</w:t>
                  </w:r>
                </w:p>
                <w:p>
                  <w:pPr>
                    <w:pStyle w:val="null3"/>
                    <w:jc w:val="both"/>
                  </w:pPr>
                  <w:r>
                    <w:rPr>
                      <w:rFonts w:ascii="仿宋_GB2312" w:hAnsi="仿宋_GB2312" w:cs="仿宋_GB2312" w:eastAsia="仿宋_GB2312"/>
                      <w:sz w:val="21"/>
                    </w:rPr>
                    <w:t>5）接收频段：10.7～12.75GHz；</w:t>
                  </w:r>
                </w:p>
                <w:p>
                  <w:pPr>
                    <w:pStyle w:val="null3"/>
                    <w:jc w:val="both"/>
                  </w:pPr>
                  <w:r>
                    <w:rPr>
                      <w:rFonts w:ascii="仿宋_GB2312" w:hAnsi="仿宋_GB2312" w:cs="仿宋_GB2312" w:eastAsia="仿宋_GB2312"/>
                      <w:sz w:val="21"/>
                    </w:rPr>
                    <w:t>6）天线增益：发射≥34dBi@14.25GHz；</w:t>
                  </w:r>
                </w:p>
                <w:p>
                  <w:pPr>
                    <w:pStyle w:val="null3"/>
                    <w:ind w:firstLine="1050"/>
                    <w:jc w:val="both"/>
                  </w:pPr>
                  <w:r>
                    <w:rPr>
                      <w:rFonts w:ascii="仿宋_GB2312" w:hAnsi="仿宋_GB2312" w:cs="仿宋_GB2312" w:eastAsia="仿宋_GB2312"/>
                      <w:sz w:val="21"/>
                    </w:rPr>
                    <w:t>接收</w:t>
                  </w:r>
                  <w:r>
                    <w:rPr>
                      <w:rFonts w:ascii="仿宋_GB2312" w:hAnsi="仿宋_GB2312" w:cs="仿宋_GB2312" w:eastAsia="仿宋_GB2312"/>
                      <w:sz w:val="21"/>
                    </w:rPr>
                    <w:t>≥33dBi@12.5</w:t>
                  </w:r>
                  <w:r>
                    <w:rPr>
                      <w:rFonts w:ascii="仿宋_GB2312" w:hAnsi="仿宋_GB2312" w:cs="仿宋_GB2312" w:eastAsia="仿宋_GB2312"/>
                      <w:sz w:val="21"/>
                    </w:rPr>
                    <w:t>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7）端口隔离：≥85dB（带组发滤波器）；</w:t>
                  </w:r>
                </w:p>
                <w:p>
                  <w:pPr>
                    <w:pStyle w:val="null3"/>
                    <w:jc w:val="both"/>
                  </w:pPr>
                  <w:r>
                    <w:rPr>
                      <w:rFonts w:ascii="仿宋_GB2312" w:hAnsi="仿宋_GB2312" w:cs="仿宋_GB2312" w:eastAsia="仿宋_GB2312"/>
                      <w:sz w:val="21"/>
                    </w:rPr>
                    <w:t>8）极化方式：线极化；</w:t>
                  </w:r>
                </w:p>
                <w:p>
                  <w:pPr>
                    <w:pStyle w:val="null3"/>
                    <w:jc w:val="both"/>
                  </w:pPr>
                  <w:r>
                    <w:rPr>
                      <w:rFonts w:ascii="仿宋_GB2312" w:hAnsi="仿宋_GB2312" w:cs="仿宋_GB2312" w:eastAsia="仿宋_GB2312"/>
                      <w:sz w:val="21"/>
                    </w:rPr>
                    <w:t>9）方位范围：≥±100°连续可调；</w:t>
                  </w:r>
                </w:p>
                <w:p>
                  <w:pPr>
                    <w:pStyle w:val="null3"/>
                    <w:jc w:val="both"/>
                  </w:pPr>
                  <w:r>
                    <w:rPr>
                      <w:rFonts w:ascii="仿宋_GB2312" w:hAnsi="仿宋_GB2312" w:cs="仿宋_GB2312" w:eastAsia="仿宋_GB2312"/>
                      <w:sz w:val="21"/>
                    </w:rPr>
                    <w:t>10）俯仰范围：≥5°～＋90°连续可调；</w:t>
                  </w:r>
                </w:p>
                <w:p>
                  <w:pPr>
                    <w:pStyle w:val="null3"/>
                    <w:jc w:val="both"/>
                  </w:pPr>
                  <w:r>
                    <w:rPr>
                      <w:rFonts w:ascii="仿宋_GB2312" w:hAnsi="仿宋_GB2312" w:cs="仿宋_GB2312" w:eastAsia="仿宋_GB2312"/>
                      <w:sz w:val="21"/>
                    </w:rPr>
                    <w:t>11）极化范围：≥±90°连续可调；</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1"/>
                    </w:rPr>
                    <w:t>定位方式：北斗单模定位</w:t>
                  </w:r>
                </w:p>
                <w:p>
                  <w:pPr>
                    <w:pStyle w:val="null3"/>
                    <w:jc w:val="both"/>
                  </w:pPr>
                  <w:r>
                    <w:rPr>
                      <w:rFonts w:ascii="仿宋_GB2312" w:hAnsi="仿宋_GB2312" w:cs="仿宋_GB2312" w:eastAsia="仿宋_GB2312"/>
                      <w:sz w:val="21"/>
                    </w:rPr>
                    <w:t>13）天线寻星：全自动寻星，手动寻星及收藏</w:t>
                  </w:r>
                </w:p>
                <w:p>
                  <w:pPr>
                    <w:pStyle w:val="null3"/>
                    <w:jc w:val="both"/>
                  </w:pPr>
                  <w:r>
                    <w:rPr>
                      <w:rFonts w:ascii="仿宋_GB2312" w:hAnsi="仿宋_GB2312" w:cs="仿宋_GB2312" w:eastAsia="仿宋_GB2312"/>
                      <w:sz w:val="21"/>
                    </w:rPr>
                    <w:t>14）寻星时间：≤1分钟，收藏时间：≤2分钟；</w:t>
                  </w:r>
                </w:p>
                <w:p>
                  <w:pPr>
                    <w:pStyle w:val="null3"/>
                    <w:jc w:val="both"/>
                  </w:pPr>
                  <w:r>
                    <w:rPr>
                      <w:rFonts w:ascii="仿宋_GB2312" w:hAnsi="仿宋_GB2312" w:cs="仿宋_GB2312" w:eastAsia="仿宋_GB2312"/>
                      <w:sz w:val="21"/>
                    </w:rPr>
                    <w:t>15）天线控制1：触屏控制；终端控制</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1"/>
                    </w:rPr>
                    <w:t>天线控制</w:t>
                  </w:r>
                  <w:r>
                    <w:rPr>
                      <w:rFonts w:ascii="仿宋_GB2312" w:hAnsi="仿宋_GB2312" w:cs="仿宋_GB2312" w:eastAsia="仿宋_GB2312"/>
                      <w:sz w:val="21"/>
                    </w:rPr>
                    <w:t>2：语音控制</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1"/>
                    </w:rPr>
                    <w:t>天线重量：</w:t>
                  </w:r>
                  <w:r>
                    <w:rPr>
                      <w:rFonts w:ascii="仿宋_GB2312" w:hAnsi="仿宋_GB2312" w:cs="仿宋_GB2312" w:eastAsia="仿宋_GB2312"/>
                      <w:sz w:val="21"/>
                    </w:rPr>
                    <w:t>≤7kg（不含功放）。</w:t>
                  </w:r>
                </w:p>
                <w:p>
                  <w:pPr>
                    <w:pStyle w:val="null3"/>
                    <w:jc w:val="both"/>
                  </w:pPr>
                  <w:r>
                    <w:rPr>
                      <w:rFonts w:ascii="仿宋_GB2312" w:hAnsi="仿宋_GB2312" w:cs="仿宋_GB2312" w:eastAsia="仿宋_GB2312"/>
                      <w:sz w:val="21"/>
                    </w:rPr>
                    <w:t>18)工作温度：-30℃～55℃</w:t>
                  </w:r>
                </w:p>
                <w:p>
                  <w:pPr>
                    <w:pStyle w:val="null3"/>
                    <w:jc w:val="both"/>
                  </w:pPr>
                  <w:r>
                    <w:rPr>
                      <w:rFonts w:ascii="仿宋_GB2312" w:hAnsi="仿宋_GB2312" w:cs="仿宋_GB2312" w:eastAsia="仿宋_GB2312"/>
                      <w:sz w:val="21"/>
                    </w:rPr>
                    <w:t>19)涉水能力：≥20cm</w:t>
                  </w:r>
                </w:p>
                <w:p>
                  <w:pPr>
                    <w:pStyle w:val="null3"/>
                    <w:jc w:val="both"/>
                  </w:pPr>
                  <w:r>
                    <w:rPr>
                      <w:rFonts w:ascii="仿宋_GB2312" w:hAnsi="仿宋_GB2312" w:cs="仿宋_GB2312" w:eastAsia="仿宋_GB2312"/>
                      <w:sz w:val="21"/>
                    </w:rPr>
                    <w:t>20)防护等级：IP55</w:t>
                  </w:r>
                </w:p>
                <w:p>
                  <w:pPr>
                    <w:pStyle w:val="null3"/>
                    <w:jc w:val="both"/>
                  </w:pPr>
                  <w:r>
                    <w:rPr>
                      <w:rFonts w:ascii="仿宋_GB2312" w:hAnsi="仿宋_GB2312" w:cs="仿宋_GB2312" w:eastAsia="仿宋_GB2312"/>
                      <w:sz w:val="21"/>
                    </w:rPr>
                    <w:t>21)内置组件：卫星功放、卫星调制解调器</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1"/>
                    </w:rPr>
                    <w:t>卫星功放组件输出功率：</w:t>
                  </w:r>
                  <w:r>
                    <w:rPr>
                      <w:rFonts w:ascii="仿宋_GB2312" w:hAnsi="仿宋_GB2312" w:cs="仿宋_GB2312" w:eastAsia="仿宋_GB2312"/>
                      <w:sz w:val="21"/>
                    </w:rPr>
                    <w:t>≥42dBm</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1"/>
                    </w:rPr>
                    <w:t>卫星功放组件需具备无线电发射设备型号核准证</w:t>
                  </w:r>
                </w:p>
                <w:p>
                  <w:pPr>
                    <w:pStyle w:val="null3"/>
                    <w:jc w:val="both"/>
                  </w:pPr>
                  <w:r>
                    <w:rPr>
                      <w:rFonts w:ascii="仿宋_GB2312" w:hAnsi="仿宋_GB2312" w:cs="仿宋_GB2312" w:eastAsia="仿宋_GB2312"/>
                      <w:sz w:val="21"/>
                    </w:rPr>
                    <w:t>24)整机功耗：≤100W（含内置卫星功放、卫星调制解调器组件）</w:t>
                  </w:r>
                </w:p>
                <w:p>
                  <w:pPr>
                    <w:pStyle w:val="null3"/>
                    <w:jc w:val="both"/>
                  </w:pPr>
                  <w:r>
                    <w:rPr>
                      <w:rFonts w:ascii="仿宋_GB2312" w:hAnsi="仿宋_GB2312" w:cs="仿宋_GB2312" w:eastAsia="仿宋_GB2312"/>
                      <w:sz w:val="21"/>
                    </w:rPr>
                    <w:t>25)附件：含操作终端</w:t>
                  </w:r>
                </w:p>
                <w:p>
                  <w:pPr>
                    <w:pStyle w:val="null3"/>
                    <w:jc w:val="both"/>
                  </w:pPr>
                  <w:r>
                    <w:rPr>
                      <w:rFonts w:ascii="仿宋_GB2312" w:hAnsi="仿宋_GB2312" w:cs="仿宋_GB2312" w:eastAsia="仿宋_GB2312"/>
                      <w:sz w:val="21"/>
                    </w:rPr>
                    <w:t>26)携行方式：防水背包，1人可携带。</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w:t>
                  </w:r>
                  <w:r>
                    <w:rPr>
                      <w:rFonts w:ascii="仿宋_GB2312" w:hAnsi="仿宋_GB2312" w:cs="仿宋_GB2312" w:eastAsia="仿宋_GB2312"/>
                      <w:sz w:val="21"/>
                    </w:rPr>
                    <w:t>IP电话</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1"/>
                    </w:rPr>
                    <w:t>网络：内置双频</w:t>
                  </w:r>
                  <w:r>
                    <w:rPr>
                      <w:rFonts w:ascii="仿宋_GB2312" w:hAnsi="仿宋_GB2312" w:cs="仿宋_GB2312" w:eastAsia="仿宋_GB2312"/>
                      <w:sz w:val="21"/>
                    </w:rPr>
                    <w:t xml:space="preserve"> 2.4G/5G Wi-Fi6 模块</w:t>
                  </w:r>
                </w:p>
                <w:p>
                  <w:pPr>
                    <w:pStyle w:val="null3"/>
                    <w:ind w:firstLine="1050"/>
                    <w:jc w:val="both"/>
                  </w:pPr>
                  <w:r>
                    <w:rPr>
                      <w:rFonts w:ascii="仿宋_GB2312" w:hAnsi="仿宋_GB2312" w:cs="仿宋_GB2312" w:eastAsia="仿宋_GB2312"/>
                      <w:sz w:val="21"/>
                    </w:rPr>
                    <w:t>内置蓝⽛</w:t>
                  </w:r>
                  <w:r>
                    <w:rPr>
                      <w:rFonts w:ascii="仿宋_GB2312" w:hAnsi="仿宋_GB2312" w:cs="仿宋_GB2312" w:eastAsia="仿宋_GB2312"/>
                      <w:sz w:val="21"/>
                    </w:rPr>
                    <w:t>5.0 模块</w:t>
                  </w:r>
                </w:p>
                <w:p>
                  <w:pPr>
                    <w:pStyle w:val="null3"/>
                    <w:jc w:val="both"/>
                  </w:pPr>
                  <w:r>
                    <w:rPr>
                      <w:rFonts w:ascii="仿宋_GB2312" w:hAnsi="仿宋_GB2312" w:cs="仿宋_GB2312" w:eastAsia="仿宋_GB2312"/>
                      <w:sz w:val="21"/>
                    </w:rPr>
                    <w:t>2)防护等级：满足IP65</w:t>
                  </w:r>
                </w:p>
                <w:p>
                  <w:pPr>
                    <w:pStyle w:val="null3"/>
                    <w:jc w:val="both"/>
                  </w:pPr>
                  <w:r>
                    <w:rPr>
                      <w:rFonts w:ascii="仿宋_GB2312" w:hAnsi="仿宋_GB2312" w:cs="仿宋_GB2312" w:eastAsia="仿宋_GB2312"/>
                      <w:sz w:val="24"/>
                    </w:rPr>
                    <w:t>3)</w:t>
                  </w:r>
                  <w:r>
                    <w:rPr>
                      <w:rFonts w:ascii="仿宋_GB2312" w:hAnsi="仿宋_GB2312" w:cs="仿宋_GB2312" w:eastAsia="仿宋_GB2312"/>
                      <w:sz w:val="21"/>
                    </w:rPr>
                    <w:t>防摔高度：</w:t>
                  </w:r>
                  <w:r>
                    <w:rPr>
                      <w:rFonts w:ascii="仿宋_GB2312" w:hAnsi="仿宋_GB2312" w:cs="仿宋_GB2312" w:eastAsia="仿宋_GB2312"/>
                      <w:sz w:val="21"/>
                    </w:rPr>
                    <w:t>≥</w:t>
                  </w:r>
                  <w:r>
                    <w:rPr>
                      <w:rFonts w:ascii="仿宋_GB2312" w:hAnsi="仿宋_GB2312" w:cs="仿宋_GB2312" w:eastAsia="仿宋_GB2312"/>
                      <w:sz w:val="21"/>
                    </w:rPr>
                    <w:t>1.8米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会议：支持多方</w:t>
                  </w:r>
                  <w:r>
                    <w:rPr>
                      <w:rFonts w:ascii="仿宋_GB2312" w:hAnsi="仿宋_GB2312" w:cs="仿宋_GB2312" w:eastAsia="仿宋_GB2312"/>
                      <w:sz w:val="21"/>
                    </w:rPr>
                    <w:t>语音</w:t>
                  </w:r>
                  <w:r>
                    <w:rPr>
                      <w:rFonts w:ascii="仿宋_GB2312" w:hAnsi="仿宋_GB2312" w:cs="仿宋_GB2312" w:eastAsia="仿宋_GB2312"/>
                      <w:sz w:val="21"/>
                    </w:rPr>
                    <w:t>会议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音质：高清音质，智能降噪</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显示屏：</w:t>
                  </w:r>
                  <w:r>
                    <w:rPr>
                      <w:rFonts w:ascii="仿宋_GB2312" w:hAnsi="仿宋_GB2312" w:cs="仿宋_GB2312" w:eastAsia="仿宋_GB2312"/>
                      <w:sz w:val="21"/>
                    </w:rPr>
                    <w:t>≥2.4英寸</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电池容量</w:t>
                  </w:r>
                  <w:r>
                    <w:rPr>
                      <w:rFonts w:ascii="仿宋_GB2312" w:hAnsi="仿宋_GB2312" w:cs="仿宋_GB2312" w:eastAsia="仿宋_GB2312"/>
                      <w:sz w:val="21"/>
                    </w:rPr>
                    <w:t>：</w:t>
                  </w:r>
                  <w:r>
                    <w:rPr>
                      <w:rFonts w:ascii="仿宋_GB2312" w:hAnsi="仿宋_GB2312" w:cs="仿宋_GB2312" w:eastAsia="仿宋_GB2312"/>
                      <w:sz w:val="21"/>
                    </w:rPr>
                    <w:t>≥3100mAh</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充电：</w:t>
                  </w:r>
                  <w:r>
                    <w:rPr>
                      <w:rFonts w:ascii="仿宋_GB2312" w:hAnsi="仿宋_GB2312" w:cs="仿宋_GB2312" w:eastAsia="仿宋_GB2312"/>
                      <w:sz w:val="21"/>
                    </w:rPr>
                    <w:t>Type-C充电</w:t>
                  </w:r>
                  <w:r>
                    <w:rPr>
                      <w:rFonts w:ascii="仿宋_GB2312" w:hAnsi="仿宋_GB2312" w:cs="仿宋_GB2312" w:eastAsia="仿宋_GB2312"/>
                      <w:sz w:val="21"/>
                    </w:rPr>
                    <w:t>及配充电底座</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视讯软件终端</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H.323、SIP体系标准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H.265、H.264HighProfile视频编码标准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1"/>
                    </w:rPr>
                    <w:t>支持双流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多方</w:t>
                  </w:r>
                  <w:r>
                    <w:rPr>
                      <w:rFonts w:ascii="仿宋_GB2312" w:hAnsi="仿宋_GB2312" w:cs="仿宋_GB2312" w:eastAsia="仿宋_GB2312"/>
                      <w:sz w:val="21"/>
                    </w:rPr>
                    <w:t>会议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含配套</w:t>
                  </w:r>
                  <w:r>
                    <w:rPr>
                      <w:rFonts w:ascii="仿宋_GB2312" w:hAnsi="仿宋_GB2312" w:cs="仿宋_GB2312" w:eastAsia="仿宋_GB2312"/>
                      <w:sz w:val="21"/>
                    </w:rPr>
                    <w:t>MCU接入授权</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w:t>
                  </w:r>
                  <w:r>
                    <w:rPr>
                      <w:rFonts w:ascii="仿宋_GB2312" w:hAnsi="仿宋_GB2312" w:cs="仿宋_GB2312" w:eastAsia="仿宋_GB2312"/>
                      <w:sz w:val="21"/>
                    </w:rPr>
                    <w:t>电</w:t>
                  </w:r>
                  <w:r>
                    <w:rPr>
                      <w:rFonts w:ascii="仿宋_GB2312" w:hAnsi="仿宋_GB2312" w:cs="仿宋_GB2312" w:eastAsia="仿宋_GB2312"/>
                      <w:sz w:val="21"/>
                    </w:rPr>
                    <w:t>电源</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电池容量：</w:t>
                  </w:r>
                  <w:r>
                    <w:rPr>
                      <w:rFonts w:ascii="仿宋_GB2312" w:hAnsi="仿宋_GB2312" w:cs="仿宋_GB2312" w:eastAsia="仿宋_GB2312"/>
                      <w:sz w:val="21"/>
                    </w:rPr>
                    <w:t>≥1500Wh</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1"/>
                    </w:rPr>
                    <w:t>电池化学成分：磷酸铁锂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电量显示：电量数字显示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净重：</w:t>
                  </w:r>
                  <w:r>
                    <w:rPr>
                      <w:rFonts w:ascii="仿宋_GB2312" w:hAnsi="仿宋_GB2312" w:cs="仿宋_GB2312" w:eastAsia="仿宋_GB2312"/>
                      <w:sz w:val="21"/>
                    </w:rPr>
                    <w:t>≤16.5kg</w:t>
                  </w:r>
                </w:p>
                <w:p>
                  <w:pPr>
                    <w:pStyle w:val="null3"/>
                    <w:jc w:val="both"/>
                  </w:pPr>
                  <w:r>
                    <w:rPr>
                      <w:rFonts w:ascii="仿宋_GB2312" w:hAnsi="仿宋_GB2312" w:cs="仿宋_GB2312" w:eastAsia="仿宋_GB2312"/>
                      <w:sz w:val="24"/>
                    </w:rPr>
                    <w:t>5)</w:t>
                  </w:r>
                  <w:r>
                    <w:rPr>
                      <w:rFonts w:ascii="仿宋_GB2312" w:hAnsi="仿宋_GB2312" w:cs="仿宋_GB2312" w:eastAsia="仿宋_GB2312"/>
                      <w:sz w:val="21"/>
                    </w:rPr>
                    <w:t>交流输出额定功率：</w:t>
                  </w:r>
                  <w:r>
                    <w:rPr>
                      <w:rFonts w:ascii="仿宋_GB2312" w:hAnsi="仿宋_GB2312" w:cs="仿宋_GB2312" w:eastAsia="仿宋_GB2312"/>
                      <w:sz w:val="21"/>
                    </w:rPr>
                    <w:t>≥1800W</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USB输出接口：≥4个</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充电：</w:t>
                  </w:r>
                  <w:r>
                    <w:rPr>
                      <w:rFonts w:ascii="仿宋_GB2312" w:hAnsi="仿宋_GB2312" w:cs="仿宋_GB2312" w:eastAsia="仿宋_GB2312"/>
                      <w:sz w:val="21"/>
                    </w:rPr>
                    <w:t>0-80%≤60分钟</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工作温度：</w:t>
                  </w:r>
                  <w:r>
                    <w:rPr>
                      <w:rFonts w:ascii="仿宋_GB2312" w:hAnsi="仿宋_GB2312" w:cs="仿宋_GB2312" w:eastAsia="仿宋_GB2312"/>
                      <w:sz w:val="21"/>
                    </w:rPr>
                    <w:t>-10℃～45℃</w:t>
                  </w:r>
                </w:p>
                <w:p>
                  <w:pPr>
                    <w:pStyle w:val="null3"/>
                    <w:jc w:val="both"/>
                  </w:pPr>
                  <w:r>
                    <w:rPr>
                      <w:rFonts w:ascii="仿宋_GB2312" w:hAnsi="仿宋_GB2312" w:cs="仿宋_GB2312" w:eastAsia="仿宋_GB2312"/>
                      <w:sz w:val="21"/>
                    </w:rPr>
                    <w:t>9)携带方式：手提式</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多模智能对讲机</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对讲机须符合标准</w:t>
                  </w:r>
                  <w:r>
                    <w:rPr>
                      <w:rFonts w:ascii="仿宋_GB2312" w:hAnsi="仿宋_GB2312" w:cs="仿宋_GB2312" w:eastAsia="仿宋_GB2312"/>
                      <w:sz w:val="21"/>
                    </w:rPr>
                    <w:t>PDT协议、工作频段：350~400 MHz、支持3GPP LTE协议及满足TDD-LTE/ FDD-LTE/ WCDMA/ GSM通信制式</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终端设备须支持移动，电信，联通运营商宽带频段</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终端设备须支持</w:t>
                  </w:r>
                  <w:r>
                    <w:rPr>
                      <w:rFonts w:ascii="仿宋_GB2312" w:hAnsi="仿宋_GB2312" w:cs="仿宋_GB2312" w:eastAsia="仿宋_GB2312"/>
                      <w:sz w:val="21"/>
                    </w:rPr>
                    <w:t>WLAN</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)对讲机支持PDT网络和公网PoC双网守候和网络自适应切换，对讲机根据当前网络质量自动选择单一网络进行语音业务，用户无感知切换。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)对讲机须具备紧急报警功能。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)终端设备须支持</w:t>
                  </w:r>
                  <w:r>
                    <w:rPr>
                      <w:rFonts w:ascii="仿宋_GB2312" w:hAnsi="仿宋_GB2312" w:cs="仿宋_GB2312" w:eastAsia="仿宋_GB2312"/>
                      <w:sz w:val="21"/>
                    </w:rPr>
                    <w:t>北斗单模</w:t>
                  </w:r>
                  <w:r>
                    <w:rPr>
                      <w:rFonts w:ascii="仿宋_GB2312" w:hAnsi="仿宋_GB2312" w:cs="仿宋_GB2312" w:eastAsia="仿宋_GB2312"/>
                      <w:sz w:val="21"/>
                    </w:rPr>
                    <w:t>定位</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)支持Type-C充电；</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电池容量：</w:t>
                  </w:r>
                  <w:r>
                    <w:rPr>
                      <w:rFonts w:ascii="仿宋_GB2312" w:hAnsi="仿宋_GB2312" w:cs="仿宋_GB2312" w:eastAsia="仿宋_GB2312"/>
                      <w:sz w:val="21"/>
                    </w:rPr>
                    <w:t>≥</w:t>
                  </w:r>
                  <w:r>
                    <w:rPr>
                      <w:rFonts w:ascii="仿宋_GB2312" w:hAnsi="仿宋_GB2312" w:cs="仿宋_GB2312" w:eastAsia="仿宋_GB2312"/>
                      <w:sz w:val="21"/>
                    </w:rPr>
                    <w:t>240</w:t>
                  </w:r>
                  <w:r>
                    <w:rPr>
                      <w:rFonts w:ascii="仿宋_GB2312" w:hAnsi="仿宋_GB2312" w:cs="仿宋_GB2312" w:eastAsia="仿宋_GB2312"/>
                      <w:sz w:val="21"/>
                    </w:rPr>
                    <w:t>0mAh</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防护等级：满足</w:t>
                  </w:r>
                  <w:r>
                    <w:rPr>
                      <w:rFonts w:ascii="仿宋_GB2312" w:hAnsi="仿宋_GB2312" w:cs="仿宋_GB2312" w:eastAsia="仿宋_GB2312"/>
                      <w:sz w:val="21"/>
                    </w:rPr>
                    <w:t>IP</w:t>
                  </w:r>
                  <w:r>
                    <w:rPr>
                      <w:rFonts w:ascii="仿宋_GB2312" w:hAnsi="仿宋_GB2312" w:cs="仿宋_GB2312" w:eastAsia="仿宋_GB2312"/>
                      <w:sz w:val="21"/>
                    </w:rPr>
                    <w:t>68</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)须配备高清晰度的触屏显示屏，尺寸≥3.5英寸；</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)每4个对讲机配套1个便携箱（共</w:t>
                  </w:r>
                  <w:r>
                    <w:rPr>
                      <w:rFonts w:ascii="仿宋_GB2312" w:hAnsi="仿宋_GB2312" w:cs="仿宋_GB2312" w:eastAsia="仿宋_GB2312"/>
                      <w:sz w:val="21"/>
                    </w:rPr>
                    <w:t>计配</w:t>
                  </w:r>
                  <w:r>
                    <w:rPr>
                      <w:rFonts w:ascii="仿宋_GB2312" w:hAnsi="仿宋_GB2312" w:cs="仿宋_GB2312" w:eastAsia="仿宋_GB2312"/>
                      <w:sz w:val="21"/>
                    </w:rPr>
                    <w:t>20</w:t>
                  </w:r>
                  <w:r>
                    <w:rPr>
                      <w:rFonts w:ascii="仿宋_GB2312" w:hAnsi="仿宋_GB2312" w:cs="仿宋_GB2312" w:eastAsia="仿宋_GB2312"/>
                      <w:sz w:val="21"/>
                    </w:rPr>
                    <w:t>个便携箱），对讲机有序排列，方便携带；便携箱内置排充，方便统一充电</w:t>
                  </w:r>
                  <w:r>
                    <w:rPr>
                      <w:rFonts w:ascii="仿宋_GB2312" w:hAnsi="仿宋_GB2312" w:cs="仿宋_GB2312" w:eastAsia="仿宋_GB2312"/>
                      <w:sz w:val="21"/>
                    </w:rPr>
                    <w:t>，</w:t>
                  </w:r>
                  <w:r>
                    <w:rPr>
                      <w:rFonts w:ascii="仿宋_GB2312" w:hAnsi="仿宋_GB2312" w:cs="仿宋_GB2312" w:eastAsia="仿宋_GB2312"/>
                      <w:sz w:val="21"/>
                    </w:rPr>
                    <w:t>便携箱</w:t>
                  </w:r>
                  <w:r>
                    <w:rPr>
                      <w:rFonts w:ascii="仿宋_GB2312" w:hAnsi="仿宋_GB2312" w:cs="仿宋_GB2312" w:eastAsia="仿宋_GB2312"/>
                      <w:sz w:val="21"/>
                    </w:rPr>
                    <w:t>费用包含在投标报价中。</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应急指挥调度管理平台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应急指挥调度管理平台</w:t>
                  </w:r>
                </w:p>
              </w:tc>
              <w:tc>
                <w:tcPr>
                  <w:tcW w:type="dxa" w:w="1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)支持通过标准H.323协议，可接入视频会议终端。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支持</w:t>
                  </w:r>
                  <w:r>
                    <w:rPr>
                      <w:rFonts w:ascii="仿宋_GB2312" w:hAnsi="仿宋_GB2312" w:cs="仿宋_GB2312" w:eastAsia="仿宋_GB2312"/>
                      <w:sz w:val="21"/>
                    </w:rPr>
                    <w:t>GB28181国标监控平台、RTSP协议对接，可接入符合国标的布控球、监控摄像头、无人机等设备；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实现多路电话号码的接入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支持对所有用户访问进行统一认证与授权</w:t>
                  </w:r>
                  <w:r>
                    <w:rPr>
                      <w:rFonts w:ascii="仿宋_GB2312" w:hAnsi="仿宋_GB2312" w:cs="仿宋_GB2312" w:eastAsia="仿宋_GB2312"/>
                      <w:sz w:val="21"/>
                    </w:rPr>
                    <w:t>、</w:t>
                  </w:r>
                  <w:r>
                    <w:rPr>
                      <w:rFonts w:ascii="仿宋_GB2312" w:hAnsi="仿宋_GB2312" w:cs="仿宋_GB2312" w:eastAsia="仿宋_GB2312"/>
                      <w:sz w:val="21"/>
                    </w:rPr>
                    <w:t>黑白名单过滤、访问时间控制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支持鉴权认证、监控统计、流量控制等多维度管理服务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)支持平台与接入的设备和</w:t>
                  </w:r>
                  <w:r>
                    <w:rPr>
                      <w:rFonts w:ascii="仿宋_GB2312" w:hAnsi="仿宋_GB2312" w:cs="仿宋_GB2312" w:eastAsia="仿宋_GB2312"/>
                      <w:sz w:val="21"/>
                    </w:rPr>
                    <w:t>终端</w:t>
                  </w:r>
                  <w:r>
                    <w:rPr>
                      <w:rFonts w:ascii="仿宋_GB2312" w:hAnsi="仿宋_GB2312" w:cs="仿宋_GB2312" w:eastAsia="仿宋_GB2312"/>
                      <w:sz w:val="21"/>
                    </w:rPr>
                    <w:t>实现双向音视频通话；</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)支持对平台接入的视频会议终端、监控摄像头、无人机和</w:t>
                  </w:r>
                  <w:r>
                    <w:rPr>
                      <w:rFonts w:ascii="仿宋_GB2312" w:hAnsi="仿宋_GB2312" w:cs="仿宋_GB2312" w:eastAsia="仿宋_GB2312"/>
                      <w:sz w:val="21"/>
                    </w:rPr>
                    <w:t>终端</w:t>
                  </w:r>
                  <w:r>
                    <w:rPr>
                      <w:rFonts w:ascii="仿宋_GB2312" w:hAnsi="仿宋_GB2312" w:cs="仿宋_GB2312" w:eastAsia="仿宋_GB2312"/>
                      <w:sz w:val="21"/>
                    </w:rPr>
                    <w:t>等进行一对一或一对多视频会商；</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)支持对平台调度的音视频资源进行预览、查看；</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平台内置对讲服务，支持与</w:t>
                  </w:r>
                  <w:r>
                    <w:rPr>
                      <w:rFonts w:ascii="仿宋_GB2312" w:hAnsi="仿宋_GB2312" w:cs="仿宋_GB2312" w:eastAsia="仿宋_GB2312"/>
                      <w:sz w:val="21"/>
                    </w:rPr>
                    <w:t>终端</w:t>
                  </w:r>
                  <w:r>
                    <w:rPr>
                      <w:rFonts w:ascii="仿宋_GB2312" w:hAnsi="仿宋_GB2312" w:cs="仿宋_GB2312" w:eastAsia="仿宋_GB2312"/>
                      <w:sz w:val="21"/>
                    </w:rPr>
                    <w:t>进行实时对讲；</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)支持对多路音频资源进行混音，并广播到各调度资源；</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)支持对单独或全局音视频资源进行一键静音、禁画、禁言和PTZ控制等操作；</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)支持在组会过程中添加或移除设备终端；</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支持平台与</w:t>
                  </w:r>
                  <w:r>
                    <w:rPr>
                      <w:rFonts w:ascii="仿宋_GB2312" w:hAnsi="仿宋_GB2312" w:cs="仿宋_GB2312" w:eastAsia="仿宋_GB2312"/>
                      <w:sz w:val="21"/>
                    </w:rPr>
                    <w:t>终端</w:t>
                  </w:r>
                  <w:r>
                    <w:rPr>
                      <w:rFonts w:ascii="仿宋_GB2312" w:hAnsi="仿宋_GB2312" w:cs="仿宋_GB2312" w:eastAsia="仿宋_GB2312"/>
                      <w:sz w:val="21"/>
                    </w:rPr>
                    <w:t>之间进行点对点或群组方式收发即时消息（包含文字、图片、短</w:t>
                  </w:r>
                  <w:r>
                    <w:rPr>
                      <w:rFonts w:ascii="仿宋_GB2312" w:hAnsi="仿宋_GB2312" w:cs="仿宋_GB2312" w:eastAsia="仿宋_GB2312"/>
                      <w:sz w:val="21"/>
                    </w:rPr>
                    <w:t>视频和文件等）；</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)支持以分类列表形式展示、搜索设备和用户；</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)支持对视频会商过程进行录音录像，且可查询录音录像内容。</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)终端支持平台双向音视频调度；</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)支持多终端之间双向音视频通话功能；</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)可以通过设备列表发起多方音视频会商和调度。</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pPr>
              <w:pStyle w:val="null3"/>
            </w:pPr>
            <w:r>
              <w:rPr>
                <w:rFonts w:ascii="仿宋_GB2312" w:hAnsi="仿宋_GB2312" w:cs="仿宋_GB2312" w:eastAsia="仿宋_GB2312"/>
              </w:rPr>
              <w:t xml:space="preserve"> </w:t>
            </w:r>
            <w:r>
              <w:rPr>
                <w:rFonts w:ascii="仿宋_GB2312" w:hAnsi="仿宋_GB2312" w:cs="仿宋_GB2312" w:eastAsia="仿宋_GB2312"/>
                <w:sz w:val="24"/>
                <w:b/>
              </w:rPr>
              <w:t>备注：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项目实施及服务要求</w:t>
            </w:r>
          </w:p>
          <w:p>
            <w:pPr>
              <w:pStyle w:val="null3"/>
              <w:jc w:val="both"/>
              <w:outlineLvl w:val="2"/>
            </w:pPr>
            <w:r>
              <w:rPr>
                <w:rFonts w:ascii="仿宋_GB2312" w:hAnsi="仿宋_GB2312" w:cs="仿宋_GB2312" w:eastAsia="仿宋_GB2312"/>
                <w:sz w:val="21"/>
                <w:b/>
                <w:color w:val="2E75B5"/>
              </w:rPr>
              <w:t>1、项目实施要求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）投标人须负责完成本次新建应急移动指挥调度终端的通信链路接入工作，确保终端全面接入陕西省现有应急卫星专网系统，通信能力达到上下行各</w:t>
            </w:r>
            <w:r>
              <w:rPr>
                <w:rFonts w:ascii="仿宋_GB2312" w:hAnsi="仿宋_GB2312" w:cs="仿宋_GB2312" w:eastAsia="仿宋_GB2312"/>
                <w:sz w:val="21"/>
              </w:rPr>
              <w:t>2Mbps；其中视讯业务须通过应急卫星专网，无缝接入陕西省应急管理厅现有MCU设备；语音业务须通过应急卫星专网，规范接入陕西省应急管理厅现有软交换系统；同时须保障系统与陕西省应急管理厅既有窄带集群基站、核心网设备全面兼容，实现全业务、全功能互联互通，</w:t>
            </w:r>
            <w:r>
              <w:rPr>
                <w:rFonts w:ascii="仿宋_GB2312" w:hAnsi="仿宋_GB2312" w:cs="仿宋_GB2312" w:eastAsia="仿宋_GB2312"/>
                <w:sz w:val="21"/>
              </w:rPr>
              <w:t>具备</w:t>
            </w:r>
            <w:r>
              <w:rPr>
                <w:rFonts w:ascii="仿宋_GB2312" w:hAnsi="仿宋_GB2312" w:cs="仿宋_GB2312" w:eastAsia="仿宋_GB2312"/>
                <w:sz w:val="21"/>
              </w:rPr>
              <w:t>“三断”情况下的应急通信和指挥调度能力，</w:t>
            </w:r>
            <w:r>
              <w:rPr>
                <w:rFonts w:ascii="仿宋_GB2312" w:hAnsi="仿宋_GB2312" w:cs="仿宋_GB2312" w:eastAsia="仿宋_GB2312"/>
                <w:sz w:val="21"/>
                <w:color w:val="000000"/>
              </w:rPr>
              <w:t>以及接入所需配套的授权许可。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2）投标人需负责全省已建和新建应急移动指挥调度终端接入本次新建应急指挥调度管理平台的接入调试服务工作，以及接入所需配套的授权许可。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3）投标人需</w:t>
            </w:r>
            <w:r>
              <w:rPr>
                <w:rFonts w:ascii="仿宋_GB2312" w:hAnsi="仿宋_GB2312" w:cs="仿宋_GB2312" w:eastAsia="仿宋_GB2312"/>
                <w:sz w:val="21"/>
                <w:color w:val="000000"/>
              </w:rPr>
              <w:t>对所提供设备进行联网及业务测试。</w:t>
            </w:r>
          </w:p>
          <w:p>
            <w:pPr>
              <w:pStyle w:val="null3"/>
              <w:jc w:val="both"/>
            </w:pPr>
            <w:r>
              <w:rPr>
                <w:rFonts w:ascii="仿宋_GB2312" w:hAnsi="仿宋_GB2312" w:cs="仿宋_GB2312" w:eastAsia="仿宋_GB2312"/>
                <w:sz w:val="24"/>
                <w:b/>
                <w:color w:val="000000"/>
              </w:rPr>
              <w:t>备注：以上内容需提供承诺书。</w:t>
            </w:r>
          </w:p>
          <w:p>
            <w:pPr>
              <w:pStyle w:val="null3"/>
              <w:jc w:val="both"/>
              <w:outlineLvl w:val="2"/>
            </w:pPr>
            <w:r>
              <w:rPr>
                <w:rFonts w:ascii="仿宋_GB2312" w:hAnsi="仿宋_GB2312" w:cs="仿宋_GB2312" w:eastAsia="仿宋_GB2312"/>
                <w:sz w:val="21"/>
                <w:b/>
                <w:color w:val="2E75B5"/>
              </w:rPr>
              <w:t>2、保障服务要求</w:t>
            </w:r>
          </w:p>
          <w:p>
            <w:pPr>
              <w:pStyle w:val="null3"/>
              <w:ind w:firstLine="420"/>
              <w:jc w:val="both"/>
            </w:pPr>
            <w:r>
              <w:rPr>
                <w:rFonts w:ascii="仿宋_GB2312" w:hAnsi="仿宋_GB2312" w:cs="仿宋_GB2312" w:eastAsia="仿宋_GB2312"/>
                <w:sz w:val="21"/>
              </w:rPr>
              <w:t>投标人需</w:t>
            </w:r>
            <w:r>
              <w:rPr>
                <w:rFonts w:ascii="仿宋_GB2312" w:hAnsi="仿宋_GB2312" w:cs="仿宋_GB2312" w:eastAsia="仿宋_GB2312"/>
                <w:sz w:val="21"/>
                <w:color w:val="000000"/>
              </w:rPr>
              <w:t>在投标文件中提交详细售后保障服务方案。保障服务内容包括但不限于：</w:t>
            </w:r>
          </w:p>
          <w:p>
            <w:pPr>
              <w:pStyle w:val="null3"/>
              <w:ind w:left="15"/>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投标人须在陕西省本地组建专业服务团队，服务团队实行</w:t>
            </w:r>
            <w:r>
              <w:rPr>
                <w:rFonts w:ascii="仿宋_GB2312" w:hAnsi="仿宋_GB2312" w:cs="仿宋_GB2312" w:eastAsia="仿宋_GB2312"/>
                <w:sz w:val="21"/>
                <w:color w:val="000000"/>
              </w:rPr>
              <w:t>7*24小时工作制，在质保期内负责售后保障服务。</w:t>
            </w:r>
          </w:p>
          <w:p>
            <w:pPr>
              <w:pStyle w:val="null3"/>
              <w:ind w:left="15"/>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服务团队人员包括但不限于：陕西省应急管理厅常驻人员</w:t>
            </w:r>
            <w:r>
              <w:rPr>
                <w:rFonts w:ascii="仿宋_GB2312" w:hAnsi="仿宋_GB2312" w:cs="仿宋_GB2312" w:eastAsia="仿宋_GB2312"/>
                <w:sz w:val="21"/>
                <w:color w:val="000000"/>
              </w:rPr>
              <w:t>1人，定期服务人员 1人，应急保障人员 3人，售后服务技术支持人员5人。服务团队人员应具备卫星系统、网络系统、音视频系统、窄带集群系统等相关专业能力。</w:t>
            </w:r>
          </w:p>
          <w:p>
            <w:pPr>
              <w:pStyle w:val="null3"/>
              <w:ind w:left="15"/>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投标人需在质保期内对应急移动指挥调度终端和应急指挥调度管理平台每年组织一次定期巡检服务，并及时解决巡检中发现的各类问题。</w:t>
            </w:r>
          </w:p>
          <w:p>
            <w:pPr>
              <w:pStyle w:val="null3"/>
              <w:ind w:left="15"/>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在质保期内，如需要为多个突发事件现场同时提供通信链路保障，在接到甲方通知后的</w:t>
            </w:r>
            <w:r>
              <w:rPr>
                <w:rFonts w:ascii="仿宋_GB2312" w:hAnsi="仿宋_GB2312" w:cs="仿宋_GB2312" w:eastAsia="仿宋_GB2312"/>
                <w:sz w:val="21"/>
                <w:color w:val="000000"/>
              </w:rPr>
              <w:t>4小时之内，须为陕西省应急管理厅现有卫星系统开通不少于4MHz的卫星临时带宽资源。</w:t>
            </w:r>
          </w:p>
          <w:p>
            <w:pPr>
              <w:pStyle w:val="null3"/>
              <w:ind w:left="15"/>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在质保期内，投标人须提供特殊场合下（突发事件、重要活动、节日等）的现场通信保障服务。协助甲方制定针对性通信保障方案，预防突发事件的发生，及时分析和解决出现的问题，确保系统及业务正常运行。</w:t>
            </w:r>
          </w:p>
          <w:p>
            <w:pPr>
              <w:pStyle w:val="null3"/>
              <w:ind w:left="15"/>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在质保期内，投标人须提供备品备件服务。备品备件包括本次新建以及全省已建应急移动指挥调度终端设备。在接到甲方通知后</w:t>
            </w:r>
            <w:r>
              <w:rPr>
                <w:rFonts w:ascii="仿宋_GB2312" w:hAnsi="仿宋_GB2312" w:cs="仿宋_GB2312" w:eastAsia="仿宋_GB2312"/>
                <w:sz w:val="21"/>
                <w:color w:val="000000"/>
              </w:rPr>
              <w:t>1小时内，备品备件须送达至陕西省应急管理厅，供甲方调配使用。</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备注：以上内容需提供承诺书。</w:t>
            </w:r>
          </w:p>
          <w:p>
            <w:pPr>
              <w:pStyle w:val="null3"/>
              <w:jc w:val="both"/>
              <w:outlineLvl w:val="2"/>
            </w:pPr>
            <w:r>
              <w:rPr>
                <w:rFonts w:ascii="仿宋_GB2312" w:hAnsi="仿宋_GB2312" w:cs="仿宋_GB2312" w:eastAsia="仿宋_GB2312"/>
                <w:sz w:val="21"/>
                <w:b/>
                <w:color w:val="2E75B5"/>
              </w:rPr>
              <w:t>3、培训要求</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投标人需在投标文件中提交详细售后培训方案。售后培训方案内容包括但不限于：</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培训内容包括但不限于系统组成、基本原理、操作步骤、运行规程、管理维护等。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培训方式须包括集中授课、实际操作。</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培训对象包括本次新建以及全省应急系统已建设的应急移动指挥调度终端相关操作人员。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培训效果须满足设备使用人能够胜任系统操作、常见故障分析处理和设备保养等工作。</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投标人需在本项目质保期内每年根据用户实际要求进行培训，以应对设备操作人员调岗更替问题。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投标人须针用户所使用的设备类型不同，进行和设备类型相关的培训。</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投标人需自行准备培训所需设备。</w:t>
            </w:r>
          </w:p>
          <w:p>
            <w:pPr>
              <w:pStyle w:val="null3"/>
              <w:jc w:val="both"/>
            </w:pPr>
            <w:r>
              <w:rPr>
                <w:rFonts w:ascii="仿宋_GB2312" w:hAnsi="仿宋_GB2312" w:cs="仿宋_GB2312" w:eastAsia="仿宋_GB2312"/>
                <w:sz w:val="24"/>
                <w:b/>
                <w:color w:val="000000"/>
              </w:rPr>
              <w:t>备注：以上内容需提供承诺书。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项目完工期：合同签订后 3个月内完工，并且完成接入所需配套的授权许可。</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陕西省应急管理厅指定地点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 5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温虎、联系电话：029-81206622-820）。 4、保证金的退还：自中标通知书发出之日起5个工作日内退还未中标人的投标保证金,自采购合同签订之日起5个工作日内退还中标人的投标保证金。 5、采购人应按照招标文件和中标供应商响应文件，在中标通知书发出之日起25日内签订合同。 6、招标文件要求签字或盖章之处，非法人单位均参照执行。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投标方案说明-3、技术参数响应.docx 投标方案说明-9、项目团队人员.docx 投标方案说明-5、项目实施方案.docx 技术指标偏差表.docx 商务条款响应说明.docx 保证金交纳凭证（保函）.docx 分项报价表.docx 投标函 投标方案说明-8、培训方案.docx 标的清单 投标方案说明-1、应急指挥调度终端技术方案.docx 投标方案说明-4、项目实施计划.docx 投标文件封面 监狱企业的证明文件 投标方案说明-2、应急指挥调度平台技术方案.docx 关于符合本国产品标准的声明函.docx 节能产品政府采购品目清单.docx 中小企业声明函 投标方案说明-11、节能环保.docx 投标方案说明-10、业绩.docx 投标方案说明-6、产品质量保障.docx 投标方案说明-7、运维保障服务方案.docx 残疾人福利性单位声明函 报价表.docx 投标人承诺书.docx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投标方案说明-3、技术参数响应.docx 投标方案说明-9、项目团队人员.docx 投标方案说明-5、项目实施方案.docx 技术指标偏差表.docx 商务条款响应说明.docx 保证金交纳凭证（保函）.docx 分项报价表.docx 投标函 投标方案说明-8、培训方案.docx 标的清单 投标方案说明-1、应急指挥调度终端技术方案.docx 投标方案说明-4、项目实施计划.docx 投标文件封面 监狱企业的证明文件 投标方案说明-2、应急指挥调度平台技术方案.docx 关于符合本国产品标准的声明函.docx 节能产品政府采购品目清单.docx 中小企业声明函 投标方案说明-11、节能环保.docx 投标方案说明-10、业绩.docx 投标方案说明-6、产品质量保障.docx 投标方案说明-7、运维保障服务方案.docx 残疾人福利性单位声明函 报价表.docx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应急指挥调度终端技术方案</w:t>
            </w:r>
          </w:p>
        </w:tc>
        <w:tc>
          <w:tcPr>
            <w:tcW w:type="dxa" w:w="2492"/>
          </w:tcPr>
          <w:p>
            <w:pPr>
              <w:pStyle w:val="null3"/>
            </w:pPr>
            <w:r>
              <w:rPr>
                <w:rFonts w:ascii="仿宋_GB2312" w:hAnsi="仿宋_GB2312" w:cs="仿宋_GB2312" w:eastAsia="仿宋_GB2312"/>
              </w:rPr>
              <w:t>投标人根据本项目的建设内容提供完整的应急指挥调度终端技术方案，内容包括但不限于：①应急指挥调度终端接入陕西省现有应急卫星专网系统方案、②应急指挥调度终端接入陕西省应急厅现有MCU系统方案、③应急指挥调度终端接入陕西省应急厅现有软交换系统方案、④应急指挥调度终端接入陕西应急的窄带集群基站及核心网系统方案、⑤应急指挥调度终端在多场景下音视频系统方案。 评审标准：应急指挥调度终端技术方案各部分内容思路清晰、结构合理、内容全面、功能描述详细、符合招标人的建设需求计15分，每有一项缺项扣3分，每有一项内容存在一处缺陷扣1分,扣完为止。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投标方案说明-1、应急指挥调度终端技术方案.docx</w:t>
            </w:r>
          </w:p>
        </w:tc>
      </w:tr>
      <w:tr>
        <w:tc>
          <w:tcPr>
            <w:tcW w:type="dxa" w:w="831"/>
            <w:vMerge/>
          </w:tcPr>
          <w:p/>
        </w:tc>
        <w:tc>
          <w:tcPr>
            <w:tcW w:type="dxa" w:w="1661"/>
          </w:tcPr>
          <w:p>
            <w:pPr>
              <w:pStyle w:val="null3"/>
            </w:pPr>
            <w:r>
              <w:rPr>
                <w:rFonts w:ascii="仿宋_GB2312" w:hAnsi="仿宋_GB2312" w:cs="仿宋_GB2312" w:eastAsia="仿宋_GB2312"/>
              </w:rPr>
              <w:t>应急指挥调度平台技术方案</w:t>
            </w:r>
          </w:p>
        </w:tc>
        <w:tc>
          <w:tcPr>
            <w:tcW w:type="dxa" w:w="2492"/>
          </w:tcPr>
          <w:p>
            <w:pPr>
              <w:pStyle w:val="null3"/>
            </w:pPr>
            <w:r>
              <w:rPr>
                <w:rFonts w:ascii="仿宋_GB2312" w:hAnsi="仿宋_GB2312" w:cs="仿宋_GB2312" w:eastAsia="仿宋_GB2312"/>
              </w:rPr>
              <w:t>投标人根据本项目的建设内容提供完整的应急指挥调度平台技术方案。 评审标准：应急指挥调度平台技术方案内容思路清晰、结构合理、内容全面、功能描述详细、符合招标人的建设需求计5分，每存在一处缺陷扣1分,扣完为止。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投标方案说明-2、应急指挥调度平台技术方案.docx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提供产品选型科学合理、技术先进，技术规格、参数完全响应招标文件要求，数量准确无缺漏项，技术指标和性能优于或完全满足招标文件要求计20分。标▲项每有一项负偏离扣2分，未标▲项每有一项负偏离扣0.5分，扣完为止。 注：标“▲”参数为重要参数，须提供相应的佐证材料（包括但不限于产品彩页、说明书、检测报告、官网和功能截图等）予以证明技术的响应性，否则视为负偏离，不计分。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投标方案说明-3、技术参数响应.docx</w:t>
            </w:r>
          </w:p>
        </w:tc>
      </w:tr>
      <w:tr>
        <w:tc>
          <w:tcPr>
            <w:tcW w:type="dxa" w:w="831"/>
            <w:vMerge/>
          </w:tcPr>
          <w:p/>
        </w:tc>
        <w:tc>
          <w:tcPr>
            <w:tcW w:type="dxa" w:w="1661"/>
          </w:tcPr>
          <w:p>
            <w:pPr>
              <w:pStyle w:val="null3"/>
            </w:pPr>
            <w:r>
              <w:rPr>
                <w:rFonts w:ascii="仿宋_GB2312" w:hAnsi="仿宋_GB2312" w:cs="仿宋_GB2312" w:eastAsia="仿宋_GB2312"/>
              </w:rPr>
              <w:t>项目实施计划</w:t>
            </w:r>
          </w:p>
        </w:tc>
        <w:tc>
          <w:tcPr>
            <w:tcW w:type="dxa" w:w="2492"/>
          </w:tcPr>
          <w:p>
            <w:pPr>
              <w:pStyle w:val="null3"/>
            </w:pPr>
            <w:r>
              <w:rPr>
                <w:rFonts w:ascii="仿宋_GB2312" w:hAnsi="仿宋_GB2312" w:cs="仿宋_GB2312" w:eastAsia="仿宋_GB2312"/>
              </w:rPr>
              <w:t>投标人根据本项目的建设内容提供切实可行的项目实施计划，内容包括但不限于：①项目进度计划、②人员配置、③组织分工、④质量保障等。 评审标准：项目实施计划各部分内容思路清晰、设计合理、内容全面、目标明确、可行性强，符合招标人的建设需求计4分，每有一项缺项扣1分，每有一项内容存在一处缺陷扣0.5分,扣完为止。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投标方案说明-4、项目实施计划.docx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根据本项目的建设内容提供科学全面的项目实施方案，内容包括但不限于：①应急移动指挥调度终端的网络规划、通信链路、音视频业务、指挥调度的接入调试实施方案、②全省已有应急移动指挥调度终端接入本次新建应急指挥调度管理平台的接入调试实施方案等。 评审标准：项目实施计划各部分内容思路清晰、设计合理、内容全面、目标明确、可行性强，符合招标人的建设需求计4分，每有一项缺项扣2分，每有一项内容存在一处缺陷扣1分,扣完为止。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投标方案说明-5、项目实施方案.docx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投标人提供所投核心产品（卫星便携站）的合法来源渠道证明文件（包括但不限于代理协议、原厂授权等）计2分，未提供或提供不全不计分。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投标方案说明-6、产品质量保障.docx</w:t>
            </w:r>
          </w:p>
        </w:tc>
      </w:tr>
      <w:tr>
        <w:tc>
          <w:tcPr>
            <w:tcW w:type="dxa" w:w="831"/>
            <w:vMerge/>
          </w:tcPr>
          <w:p/>
        </w:tc>
        <w:tc>
          <w:tcPr>
            <w:tcW w:type="dxa" w:w="1661"/>
          </w:tcPr>
          <w:p>
            <w:pPr>
              <w:pStyle w:val="null3"/>
            </w:pPr>
            <w:r>
              <w:rPr>
                <w:rFonts w:ascii="仿宋_GB2312" w:hAnsi="仿宋_GB2312" w:cs="仿宋_GB2312" w:eastAsia="仿宋_GB2312"/>
              </w:rPr>
              <w:t>运维保障服务方案</w:t>
            </w:r>
          </w:p>
        </w:tc>
        <w:tc>
          <w:tcPr>
            <w:tcW w:type="dxa" w:w="2492"/>
          </w:tcPr>
          <w:p>
            <w:pPr>
              <w:pStyle w:val="null3"/>
            </w:pPr>
            <w:r>
              <w:rPr>
                <w:rFonts w:ascii="仿宋_GB2312" w:hAnsi="仿宋_GB2312" w:cs="仿宋_GB2312" w:eastAsia="仿宋_GB2312"/>
              </w:rPr>
              <w:t>投标人根据本项目的建设内容提供全面合理的运维保障服务方案，内容包括但不限于：①运维保障本地化服务能力、②响应时间、响应程度及解决问题的能力、③紧急故障处理预案等。 评审标准：运维保障服务方案各项内容全面详细、阐述条理清晰、符合本项目采购要求计6分，每有一项缺项扣2分，每有一项内容存在一处缺陷扣1分,扣完为止。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投标方案说明-7、运维保障服务方案.docx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采购需求具有详细、具体、可行的技术培训方案，保证设备使用人能够胜任系统操作、常见故障分析处理和设备保养等工作，培训方案内容包括但不限于：①培训目标及培训计划、②培训课程等。 评审标准：培训方案各项内容全面详细、科学合理、计划性强、符合本项目采购要求，能有效保障本项目实施计2分，每有一项缺项扣1分，每有一项内容存在一处缺陷扣0.5分,扣完为止。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投标方案说明-8、培训方案.docx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1、投标人为本项目指定专职项目经理，项目经理具有：①高级职称证书（通信及信息系统类）；②一级建造师（注册专业：通信与广电工程），每具备1项得1分，满分2分； 注：须同时提供相关证明材料及拟派项目经理在本单位的任职证明（须加盖单位公章），未提供或提供不全不得分。 2、项目团队成员（除项目经理外），每有一人具有通信及信息系统类相关专业职称，高级计1分，中级计0.5分；最高得3分。同一人同时具备多个证书的按一个计算。 注：以上人员需提供相关证明材料及在本单位的任职证明（须加盖单位公章），未提供或提供不全不得分。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投标方案说明-9、项目团队人员.docx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投标人提供2023年1月1日至今（以合同签订日期为准）类似项目的业绩合同，每份得1分，满分3分。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投标方案说明-10、业绩.docx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详见附件：投标方案说明-1、应急指挥调度终端技术方案.docx</w:t>
      </w:r>
    </w:p>
    <w:p>
      <w:pPr>
        <w:pStyle w:val="null3"/>
        <w:ind w:firstLine="960"/>
      </w:pPr>
      <w:r>
        <w:rPr>
          <w:rFonts w:ascii="仿宋_GB2312" w:hAnsi="仿宋_GB2312" w:cs="仿宋_GB2312" w:eastAsia="仿宋_GB2312"/>
        </w:rPr>
        <w:t>详见附件：投标方案说明-2、应急指挥调度平台技术方案.docx</w:t>
      </w:r>
    </w:p>
    <w:p>
      <w:pPr>
        <w:pStyle w:val="null3"/>
        <w:ind w:firstLine="960"/>
      </w:pPr>
      <w:r>
        <w:rPr>
          <w:rFonts w:ascii="仿宋_GB2312" w:hAnsi="仿宋_GB2312" w:cs="仿宋_GB2312" w:eastAsia="仿宋_GB2312"/>
        </w:rPr>
        <w:t>详见附件：投标方案说明-3、技术参数响应.docx</w:t>
      </w:r>
    </w:p>
    <w:p>
      <w:pPr>
        <w:pStyle w:val="null3"/>
        <w:ind w:firstLine="960"/>
      </w:pPr>
      <w:r>
        <w:rPr>
          <w:rFonts w:ascii="仿宋_GB2312" w:hAnsi="仿宋_GB2312" w:cs="仿宋_GB2312" w:eastAsia="仿宋_GB2312"/>
        </w:rPr>
        <w:t>详见附件：投标方案说明-4、项目实施计划.docx</w:t>
      </w:r>
    </w:p>
    <w:p>
      <w:pPr>
        <w:pStyle w:val="null3"/>
        <w:ind w:firstLine="960"/>
      </w:pPr>
      <w:r>
        <w:rPr>
          <w:rFonts w:ascii="仿宋_GB2312" w:hAnsi="仿宋_GB2312" w:cs="仿宋_GB2312" w:eastAsia="仿宋_GB2312"/>
        </w:rPr>
        <w:t>详见附件：投标方案说明-5、项目实施方案.docx</w:t>
      </w:r>
    </w:p>
    <w:p>
      <w:pPr>
        <w:pStyle w:val="null3"/>
        <w:ind w:firstLine="960"/>
      </w:pPr>
      <w:r>
        <w:rPr>
          <w:rFonts w:ascii="仿宋_GB2312" w:hAnsi="仿宋_GB2312" w:cs="仿宋_GB2312" w:eastAsia="仿宋_GB2312"/>
        </w:rPr>
        <w:t>详见附件：投标方案说明-6、产品质量保障.docx</w:t>
      </w:r>
    </w:p>
    <w:p>
      <w:pPr>
        <w:pStyle w:val="null3"/>
        <w:ind w:firstLine="960"/>
      </w:pPr>
      <w:r>
        <w:rPr>
          <w:rFonts w:ascii="仿宋_GB2312" w:hAnsi="仿宋_GB2312" w:cs="仿宋_GB2312" w:eastAsia="仿宋_GB2312"/>
        </w:rPr>
        <w:t>详见附件：投标方案说明-7、运维保障服务方案.docx</w:t>
      </w:r>
    </w:p>
    <w:p>
      <w:pPr>
        <w:pStyle w:val="null3"/>
        <w:ind w:firstLine="960"/>
      </w:pPr>
      <w:r>
        <w:rPr>
          <w:rFonts w:ascii="仿宋_GB2312" w:hAnsi="仿宋_GB2312" w:cs="仿宋_GB2312" w:eastAsia="仿宋_GB2312"/>
        </w:rPr>
        <w:t>详见附件：投标方案说明-8、培训方案.docx</w:t>
      </w:r>
    </w:p>
    <w:p>
      <w:pPr>
        <w:pStyle w:val="null3"/>
        <w:ind w:firstLine="960"/>
      </w:pPr>
      <w:r>
        <w:rPr>
          <w:rFonts w:ascii="仿宋_GB2312" w:hAnsi="仿宋_GB2312" w:cs="仿宋_GB2312" w:eastAsia="仿宋_GB2312"/>
        </w:rPr>
        <w:t>详见附件：投标方案说明-9、项目团队人员.docx</w:t>
      </w:r>
    </w:p>
    <w:p>
      <w:pPr>
        <w:pStyle w:val="null3"/>
        <w:ind w:firstLine="960"/>
      </w:pPr>
      <w:r>
        <w:rPr>
          <w:rFonts w:ascii="仿宋_GB2312" w:hAnsi="仿宋_GB2312" w:cs="仿宋_GB2312" w:eastAsia="仿宋_GB2312"/>
        </w:rPr>
        <w:t>详见附件：投标方案说明-10、业绩.docx</w:t>
      </w:r>
    </w:p>
    <w:p>
      <w:pPr>
        <w:pStyle w:val="null3"/>
        <w:ind w:firstLine="960"/>
      </w:pPr>
      <w:r>
        <w:rPr>
          <w:rFonts w:ascii="仿宋_GB2312" w:hAnsi="仿宋_GB2312" w:cs="仿宋_GB2312" w:eastAsia="仿宋_GB2312"/>
        </w:rPr>
        <w:t>详见附件：投标方案说明-11、节能环保.docx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详见附件：节能产品政府采购品目清单.docx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