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版本号：SCZB2026-ZB-0786-00420260617001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多语种师范生教学能力实训系统采购项目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SCZB2026-ZB-0786-004</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多语种师范生教学能力实训系统采购项目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SCZB2026-ZB-0786-004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多语种师范生教学能力实训系统采购项目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提升师范生实践技能，建设校级优质VR教学资源库，支撑教学改革项目与教研项目发表，打造俄语学院特色示范平台。AI俄语大语言模型一体机、本地+云端混合大模型服务、多语种口语训练、智慧师范生教学能力管理平台、师范生名师沉浸VR实景课堂与VR沉浸式师范教育课程资源和系统集成等，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银行账号：102062457100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说明：1.中标人按采购人指定账户交纳本包预算金额的5%作为履约保证金。交纳履约保证金时须注明项目编号及用途(履约保证金)。 2.转账账号：中标后提供。 3.逾期退还履约保证金责任：按照采购人内控制度执行。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代理服务费收费标准：参照《国家计委关于印发〈招标代理服务收费管理暂行办法〉的通知》（计价格[2002]1980号）及发改办价格（ [2003]857 号文件）下浮 20%收取（收费标准的 80%），由中标单位向招标代理机构支付。中标单位的招标代理服务费缴纳信息：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联系人：招标代理机构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提升师范生实践技能，建设校级优质VR教学资源库，支撑教学改革项目与教研项目发表，打造俄语学院特色示范平台。AI俄语大语言模型一体机、本地+云端混合大模型服务、多语种口语训练、智慧师范生教学能力管理平台、师范生名师沉浸VR实景课堂与VR沉浸式师范教育课程资源和系统集成等，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多语种师范生教学能力实训系统设备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标的名称：多语种师范生教学能力实训系统设备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货物名称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技术参数</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0"/>
                      <w:b/>
                    </w:rPr>
                    <w:t>总体要求：</w:t>
                  </w:r>
                </w:p>
                <w:p>
                  <w:pPr>
                    <w:pStyle w:val="null3"/>
                    <w:spacing w:after="165"/>
                    <w:ind w:firstLine="400"/>
                    <w:jc w:val="both"/>
                  </w:pPr>
                  <w:r>
                    <w:rPr>
                      <w:rFonts w:ascii="仿宋_GB2312" w:hAnsi="仿宋_GB2312" w:cs="仿宋_GB2312" w:eastAsia="仿宋_GB2312"/>
                      <w:sz w:val="20"/>
                    </w:rPr>
                    <w:t>为提升师范生实践技能，建设校级优质</w:t>
                  </w:r>
                  <w:r>
                    <w:rPr>
                      <w:rFonts w:ascii="仿宋_GB2312" w:hAnsi="仿宋_GB2312" w:cs="仿宋_GB2312" w:eastAsia="仿宋_GB2312"/>
                      <w:sz w:val="20"/>
                    </w:rPr>
                    <w:t>VR教学资源库，支撑教学改革项目与教研项目发表，并打造俄语学院特色师范教育平台。</w:t>
                  </w:r>
                </w:p>
                <w:p>
                  <w:pPr>
                    <w:pStyle w:val="null3"/>
                    <w:spacing w:after="165"/>
                    <w:ind w:firstLine="400"/>
                    <w:jc w:val="both"/>
                  </w:pPr>
                  <w:r>
                    <w:rPr>
                      <w:rFonts w:ascii="仿宋_GB2312" w:hAnsi="仿宋_GB2312" w:cs="仿宋_GB2312" w:eastAsia="仿宋_GB2312"/>
                      <w:sz w:val="20"/>
                    </w:rPr>
                    <w:t>本项目为多语种师范生教学能力实训系统，包含：</w:t>
                  </w:r>
                  <w:r>
                    <w:rPr>
                      <w:rFonts w:ascii="仿宋_GB2312" w:hAnsi="仿宋_GB2312" w:cs="仿宋_GB2312" w:eastAsia="仿宋_GB2312"/>
                      <w:sz w:val="20"/>
                    </w:rPr>
                    <w:t>AI 大语言模型一体机、 本地+云端混合大模型服务、多语种口语训练、智慧师范生教学能力管理平台、 师范生名师沉浸 VR 实景课堂与 VR 沉浸式师范教育课程资源和系统集成。 所有硬件、软件、模型、场景、数字人必须无缝兼容，统一平台管理。多语种口语训练模块系统支持俄语、中文、未来支持哈萨克斯坦、白俄罗斯语等多语种口语训练与扩展。</w:t>
                  </w:r>
                </w:p>
                <w:p>
                  <w:pPr>
                    <w:pStyle w:val="null3"/>
                    <w:spacing w:after="165"/>
                    <w:jc w:val="both"/>
                  </w:pPr>
                  <w:r>
                    <w:rPr>
                      <w:rFonts w:ascii="仿宋_GB2312" w:hAnsi="仿宋_GB2312" w:cs="仿宋_GB2312" w:eastAsia="仿宋_GB2312"/>
                      <w:sz w:val="20"/>
                      <w:b/>
                    </w:rPr>
                    <w:t>商务要求：</w:t>
                  </w:r>
                </w:p>
                <w:p>
                  <w:pPr>
                    <w:pStyle w:val="null3"/>
                    <w:spacing w:after="165"/>
                    <w:ind w:firstLine="400"/>
                    <w:jc w:val="both"/>
                  </w:pPr>
                  <w:r>
                    <w:rPr>
                      <w:rFonts w:ascii="仿宋_GB2312" w:hAnsi="仿宋_GB2312" w:cs="仿宋_GB2312" w:eastAsia="仿宋_GB2312"/>
                      <w:sz w:val="20"/>
                    </w:rPr>
                    <w:t>（一）交货期：</w:t>
                  </w:r>
                </w:p>
                <w:p>
                  <w:pPr>
                    <w:pStyle w:val="null3"/>
                    <w:spacing w:after="165"/>
                    <w:ind w:firstLine="400"/>
                    <w:jc w:val="both"/>
                  </w:pPr>
                  <w:r>
                    <w:rPr>
                      <w:rFonts w:ascii="仿宋_GB2312" w:hAnsi="仿宋_GB2312" w:cs="仿宋_GB2312" w:eastAsia="仿宋_GB2312"/>
                      <w:sz w:val="20"/>
                    </w:rPr>
                    <w:t>自合同签订之日起</w:t>
                  </w:r>
                  <w:r>
                    <w:rPr>
                      <w:rFonts w:ascii="仿宋_GB2312" w:hAnsi="仿宋_GB2312" w:cs="仿宋_GB2312" w:eastAsia="仿宋_GB2312"/>
                      <w:sz w:val="20"/>
                    </w:rPr>
                    <w:t>60日历天内完成交付、安装及调试。</w:t>
                  </w:r>
                </w:p>
                <w:p>
                  <w:pPr>
                    <w:pStyle w:val="null3"/>
                    <w:spacing w:after="165"/>
                    <w:ind w:firstLine="400"/>
                    <w:jc w:val="both"/>
                  </w:pPr>
                  <w:r>
                    <w:rPr>
                      <w:rFonts w:ascii="仿宋_GB2312" w:hAnsi="仿宋_GB2312" w:cs="仿宋_GB2312" w:eastAsia="仿宋_GB2312"/>
                      <w:sz w:val="20"/>
                    </w:rPr>
                    <w:t>（二）履约保证金</w:t>
                  </w:r>
                </w:p>
                <w:p>
                  <w:pPr>
                    <w:pStyle w:val="null3"/>
                    <w:spacing w:after="165"/>
                    <w:ind w:firstLine="400"/>
                    <w:jc w:val="both"/>
                  </w:pPr>
                  <w:r>
                    <w:rPr>
                      <w:rFonts w:ascii="仿宋_GB2312" w:hAnsi="仿宋_GB2312" w:cs="仿宋_GB2312" w:eastAsia="仿宋_GB2312"/>
                      <w:sz w:val="20"/>
                    </w:rPr>
                    <w:t>项目面向中小企业：履约保证金为合同金额的</w:t>
                  </w:r>
                  <w:r>
                    <w:rPr>
                      <w:rFonts w:ascii="仿宋_GB2312" w:hAnsi="仿宋_GB2312" w:cs="仿宋_GB2312" w:eastAsia="仿宋_GB2312"/>
                      <w:sz w:val="20"/>
                    </w:rPr>
                    <w:t>5%；</w:t>
                  </w:r>
                </w:p>
                <w:p>
                  <w:pPr>
                    <w:pStyle w:val="null3"/>
                    <w:spacing w:after="165"/>
                    <w:ind w:firstLine="400"/>
                    <w:jc w:val="both"/>
                  </w:pPr>
                  <w:r>
                    <w:rPr>
                      <w:rFonts w:ascii="仿宋_GB2312" w:hAnsi="仿宋_GB2312" w:cs="仿宋_GB2312" w:eastAsia="仿宋_GB2312"/>
                      <w:sz w:val="20"/>
                    </w:rPr>
                    <w:t>（三）资金支付：</w:t>
                  </w:r>
                </w:p>
                <w:p>
                  <w:pPr>
                    <w:pStyle w:val="null3"/>
                    <w:spacing w:after="165"/>
                    <w:ind w:firstLine="400"/>
                    <w:jc w:val="both"/>
                  </w:pPr>
                  <w:r>
                    <w:rPr>
                      <w:rFonts w:ascii="仿宋_GB2312" w:hAnsi="仿宋_GB2312" w:cs="仿宋_GB2312" w:eastAsia="仿宋_GB2312"/>
                      <w:sz w:val="20"/>
                    </w:rPr>
                    <w:t>方式：银行转账支付</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 xml:space="preserve">1： 付款条件说明： 合同签订后，货物运抵现场并经甲方初步核对数量、外观、型号无误，达到付款条件起 10 日内，支付合同总金额的 </w:t>
                  </w:r>
                  <w:r>
                    <w:rPr>
                      <w:rFonts w:ascii="仿宋_GB2312" w:hAnsi="仿宋_GB2312" w:cs="仿宋_GB2312" w:eastAsia="仿宋_GB2312"/>
                      <w:sz w:val="19"/>
                    </w:rPr>
                    <w:t>4</w:t>
                  </w:r>
                  <w:r>
                    <w:rPr>
                      <w:rFonts w:ascii="仿宋_GB2312" w:hAnsi="仿宋_GB2312" w:cs="仿宋_GB2312" w:eastAsia="仿宋_GB2312"/>
                      <w:sz w:val="19"/>
                    </w:rPr>
                    <w:t>0.00%。</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1： 付款条件说明：</w:t>
                  </w:r>
                  <w:r>
                    <w:rPr>
                      <w:rFonts w:ascii="仿宋_GB2312" w:hAnsi="仿宋_GB2312" w:cs="仿宋_GB2312" w:eastAsia="仿宋_GB2312"/>
                      <w:sz w:val="19"/>
                    </w:rPr>
                    <w:t>产品安装调试完成，学校</w:t>
                  </w:r>
                  <w:r>
                    <w:rPr>
                      <w:rFonts w:ascii="仿宋_GB2312" w:hAnsi="仿宋_GB2312" w:cs="仿宋_GB2312" w:eastAsia="仿宋_GB2312"/>
                      <w:sz w:val="19"/>
                    </w:rPr>
                    <w:t>全部设备最终验收合格，乙方持《终验合格单》原件并向甲方提供合同总金额的全额增值税专用发票后</w:t>
                  </w:r>
                  <w:r>
                    <w:rPr>
                      <w:rFonts w:ascii="仿宋_GB2312" w:hAnsi="仿宋_GB2312" w:cs="仿宋_GB2312" w:eastAsia="仿宋_GB2312"/>
                      <w:sz w:val="19"/>
                    </w:rPr>
                    <w:t>，达到付款条件起</w:t>
                  </w:r>
                  <w:r>
                    <w:rPr>
                      <w:rFonts w:ascii="仿宋_GB2312" w:hAnsi="仿宋_GB2312" w:cs="仿宋_GB2312" w:eastAsia="仿宋_GB2312"/>
                      <w:sz w:val="19"/>
                    </w:rPr>
                    <w:t>10 日内，支付合同总金额的</w:t>
                  </w:r>
                  <w:r>
                    <w:rPr>
                      <w:rFonts w:ascii="仿宋_GB2312" w:hAnsi="仿宋_GB2312" w:cs="仿宋_GB2312" w:eastAsia="仿宋_GB2312"/>
                      <w:sz w:val="19"/>
                    </w:rPr>
                    <w:t>6</w:t>
                  </w:r>
                  <w:r>
                    <w:rPr>
                      <w:rFonts w:ascii="仿宋_GB2312" w:hAnsi="仿宋_GB2312" w:cs="仿宋_GB2312" w:eastAsia="仿宋_GB2312"/>
                      <w:sz w:val="19"/>
                    </w:rPr>
                    <w:t>0.00%。</w:t>
                  </w:r>
                </w:p>
                <w:p>
                  <w:pPr>
                    <w:pStyle w:val="null3"/>
                    <w:spacing w:after="165"/>
                    <w:ind w:firstLine="400"/>
                    <w:jc w:val="both"/>
                  </w:pPr>
                  <w:r>
                    <w:rPr>
                      <w:rFonts w:ascii="仿宋_GB2312" w:hAnsi="仿宋_GB2312" w:cs="仿宋_GB2312" w:eastAsia="仿宋_GB2312"/>
                      <w:sz w:val="20"/>
                    </w:rPr>
                    <w:t>（四）质保及售后要求：</w:t>
                  </w:r>
                </w:p>
                <w:p>
                  <w:pPr>
                    <w:pStyle w:val="null3"/>
                    <w:spacing w:after="165"/>
                    <w:ind w:firstLine="400"/>
                    <w:jc w:val="both"/>
                  </w:pPr>
                  <w:r>
                    <w:rPr>
                      <w:rFonts w:ascii="仿宋_GB2312" w:hAnsi="仿宋_GB2312" w:cs="仿宋_GB2312" w:eastAsia="仿宋_GB2312"/>
                      <w:sz w:val="20"/>
                    </w:rPr>
                    <w:t>质保期为产品最终验收合格之日起</w:t>
                  </w:r>
                  <w:r>
                    <w:rPr>
                      <w:rFonts w:ascii="仿宋_GB2312" w:hAnsi="仿宋_GB2312" w:cs="仿宋_GB2312" w:eastAsia="仿宋_GB2312"/>
                      <w:sz w:val="20"/>
                    </w:rPr>
                    <w:t>3年。</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AI大语言模型一体机</w:t>
                  </w:r>
                </w:p>
                <w:p>
                  <w:pPr>
                    <w:pStyle w:val="null3"/>
                    <w:spacing w:after="165"/>
                    <w:jc w:val="both"/>
                  </w:pPr>
                  <w:r>
                    <w:rPr>
                      <w:rFonts w:ascii="仿宋_GB2312" w:hAnsi="仿宋_GB2312" w:cs="仿宋_GB2312" w:eastAsia="仿宋_GB2312"/>
                      <w:sz w:val="20"/>
                    </w:rPr>
                    <w:t>（核心产品）</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一、</w:t>
                  </w:r>
                  <w:r>
                    <w:rPr>
                      <w:rFonts w:ascii="仿宋_GB2312" w:hAnsi="仿宋_GB2312" w:cs="仿宋_GB2312" w:eastAsia="仿宋_GB2312"/>
                      <w:sz w:val="20"/>
                      <w:b/>
                    </w:rPr>
                    <w:t>AI大语言模型一体机：</w:t>
                  </w:r>
                </w:p>
                <w:p>
                  <w:pPr>
                    <w:pStyle w:val="null3"/>
                    <w:spacing w:after="165"/>
                    <w:ind w:firstLine="402"/>
                    <w:jc w:val="left"/>
                  </w:pPr>
                  <w:r>
                    <w:rPr>
                      <w:rFonts w:ascii="仿宋_GB2312" w:hAnsi="仿宋_GB2312" w:cs="仿宋_GB2312" w:eastAsia="仿宋_GB2312"/>
                      <w:sz w:val="20"/>
                      <w:b/>
                    </w:rPr>
                    <w:t>1.1 本地+云端混合大模型一体机</w:t>
                  </w:r>
                </w:p>
                <w:p>
                  <w:pPr>
                    <w:pStyle w:val="null3"/>
                    <w:spacing w:after="165"/>
                    <w:ind w:firstLine="400"/>
                    <w:jc w:val="left"/>
                  </w:pPr>
                  <w:r>
                    <w:rPr>
                      <w:rFonts w:ascii="仿宋_GB2312" w:hAnsi="仿宋_GB2312" w:cs="仿宋_GB2312" w:eastAsia="仿宋_GB2312"/>
                      <w:sz w:val="20"/>
                    </w:rPr>
                    <w:t>1.1.1 本地一体机硬件配置</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1）≥4U标准机架式；</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2）处理器：配置≥2颗可扩展处理器；单颗处理器≥32核心≥64线程，主频≥2.1GHz；</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3）内存：配置≥4根内存，单根内存容量≥64GB，整</w:t>
                  </w:r>
                  <w:r>
                    <w:rPr>
                      <w:rFonts w:ascii="仿宋_GB2312" w:hAnsi="仿宋_GB2312" w:cs="仿宋_GB2312" w:eastAsia="仿宋_GB2312"/>
                      <w:sz w:val="20"/>
                    </w:rPr>
                    <w:t>机内存插槽总数</w:t>
                  </w:r>
                  <w:r>
                    <w:rPr>
                      <w:rFonts w:ascii="仿宋_GB2312" w:hAnsi="仿宋_GB2312" w:cs="仿宋_GB2312" w:eastAsia="仿宋_GB2312"/>
                      <w:sz w:val="20"/>
                      <w:b/>
                    </w:rPr>
                    <w:t>≥32根</w:t>
                  </w:r>
                  <w:r>
                    <w:rPr>
                      <w:rFonts w:ascii="仿宋_GB2312" w:hAnsi="仿宋_GB2312" w:cs="仿宋_GB2312" w:eastAsia="仿宋_GB2312"/>
                      <w:sz w:val="20"/>
                    </w:rPr>
                    <w:t>；</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4）存储：配置≥2*960GB 2.5寸 SATA企业级固态硬盘，≥2*3.84TB 2.5寸 NVMe企业级固态硬盘；</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5）加速卡：配置≥2张GPU运算卡；每张运算卡 核心数≥16000个，FP32算力≥80TFLOPS；显存容量≥45GB，功耗≤500W；</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6）RAID：≥1块独立硬件PICE接口阵列卡，缓存≥1GB；</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7）网络：配置≥2*千兆电口，≥2*万兆光口，设备满配对应规格万兆光模块；</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8）电源：配置≥4个2600W冗余电源模块，支持冗余；</w:t>
                  </w:r>
                </w:p>
                <w:p>
                  <w:pPr>
                    <w:pStyle w:val="null3"/>
                    <w:spacing w:after="165"/>
                    <w:ind w:firstLine="400"/>
                    <w:jc w:val="left"/>
                  </w:pPr>
                  <w:r>
                    <w:rPr>
                      <w:rFonts w:ascii="仿宋_GB2312" w:hAnsi="仿宋_GB2312" w:cs="仿宋_GB2312" w:eastAsia="仿宋_GB2312"/>
                      <w:sz w:val="20"/>
                    </w:rPr>
                    <w:t>1.1.2 AI大模型整体能力要求：</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 AI大语言模型一体机需与本次项目《多语种口语训练模块》《师范生名师沉浸VR实景课堂》《VR沉浸式师范教育课程资源》实现底层驱动级对接，语音交互端到端时延≤300ms，无卡顿、无延迟、无掉字；</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 AI大语言模型一体机必须与本项目《多语种口语训练模块》完成深度融合对接，支持统一身份认证、师生账号同步、权限分级、训练数据实时回传平台，实现 “认证 - 训练 - 评测 - 纠错 - 归档 - 分析” 全流程闭环；</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 本地部署 ≥3 套不同规模、不同能力方向的俄语教育大模型的完整部署、编译、调优与上线运行 ，支持模型一键切换、热重载、独立流量分配、独立日志监控；供应商需提供可视化模型管理平台 UI，包含模型状态监控、实时推理负载、显存占用率、并发访问数、推理时延统计、错误率，保障教学业务稳定调度；（提供相关佐证材料，包含不限于承诺函/截图等）</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 支持哈萨克斯坦语、白俄罗斯语等语种口语教学对接，采购人提出新增语种需求后，20 个自然日内完成新语种全功能上线部署，包含语音识别、发音评测、口语对话、AI 发音生成、数字人语音驱动、师音智读训练、数据中台统计全能力开通；（提供相关佐证材料，包含不限于承诺函/截图等）</w:t>
                  </w:r>
                </w:p>
                <w:p>
                  <w:pPr>
                    <w:pStyle w:val="null3"/>
                    <w:spacing w:after="165"/>
                    <w:ind w:firstLine="420"/>
                    <w:jc w:val="left"/>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5）为确保产品兼容性和可靠性，投标人所投该硬件产品需与智慧师范生教学能力管理平台匹配；（提供相关佐证材料，包含不限于承诺函/截图等）</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6）项目配套提供公有云大模型算力服务或同等规格高性能算力服务器，公有云模型支持不少于2350亿参数量大模型推理能力，或提供累计不少于640G显存的专属算力服务器资源，保障云端高并发教学推理需求；自本项目验收之日起2年内，公有云模型服务不限制接口调用次数、不限制 Token调用总量、不限带宽速率，提供本项目专属独享算力资源，不与其他外部项目共享算力资源。（提供相关佐证材料，包含不限于承诺函/截图等）</w:t>
                  </w:r>
                </w:p>
                <w:p>
                  <w:pPr>
                    <w:pStyle w:val="null3"/>
                    <w:spacing w:after="165"/>
                    <w:ind w:left="405"/>
                    <w:jc w:val="left"/>
                  </w:pPr>
                  <w:r>
                    <w:rPr>
                      <w:rFonts w:ascii="仿宋_GB2312" w:hAnsi="仿宋_GB2312" w:cs="仿宋_GB2312" w:eastAsia="仿宋_GB2312"/>
                      <w:sz w:val="20"/>
                      <w:b/>
                    </w:rPr>
                    <w:t>1.2多语种口语训练模块：</w:t>
                  </w:r>
                </w:p>
                <w:p>
                  <w:pPr>
                    <w:pStyle w:val="null3"/>
                    <w:spacing w:after="165"/>
                    <w:ind w:left="405"/>
                    <w:jc w:val="left"/>
                  </w:pPr>
                  <w:r>
                    <w:rPr>
                      <w:rFonts w:ascii="仿宋_GB2312" w:hAnsi="仿宋_GB2312" w:cs="仿宋_GB2312" w:eastAsia="仿宋_GB2312"/>
                      <w:sz w:val="20"/>
                    </w:rPr>
                    <w:t>1.2.1多语种口语训练要求</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1）支持微信端轻量化接入，可与学校官方微信公众号、统一身份认证系统无缝对接，实现同步访问；</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2）模块与《AI大语言模型一体机》联动，单句推理延迟≤200ms，支持≥100 路俄语语音实时并发交互，教学交互过程丢包率≤ 1%；</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3）单账号支持≥5个会话次数记忆，可随时调用历史对话，并进行持续对话；</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每个会话</w:t>
                  </w:r>
                  <w:r>
                    <w:rPr>
                      <w:rFonts w:ascii="仿宋_GB2312" w:hAnsi="仿宋_GB2312" w:cs="仿宋_GB2312" w:eastAsia="仿宋_GB2312"/>
                      <w:sz w:val="20"/>
                    </w:rPr>
                    <w:t>支持</w:t>
                  </w:r>
                  <w:r>
                    <w:rPr>
                      <w:rFonts w:ascii="仿宋_GB2312" w:hAnsi="仿宋_GB2312" w:cs="仿宋_GB2312" w:eastAsia="仿宋_GB2312"/>
                      <w:sz w:val="20"/>
                    </w:rPr>
                    <w:t>≥20次俄语对话上下文记忆，自动生成教学对话轨迹与能力画像；</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5）定制≥5个不同职业方向知识对话能力及≥3种声线模式；</w:t>
                  </w:r>
                </w:p>
                <w:p>
                  <w:pPr>
                    <w:pStyle w:val="null3"/>
                    <w:spacing w:after="165"/>
                    <w:ind w:firstLine="400"/>
                    <w:jc w:val="left"/>
                  </w:pPr>
                  <w:r>
                    <w:rPr>
                      <w:rFonts w:ascii="仿宋_GB2312" w:hAnsi="仿宋_GB2312" w:cs="仿宋_GB2312" w:eastAsia="仿宋_GB2312"/>
                      <w:sz w:val="20"/>
                    </w:rPr>
                    <w:t>1.2.2 师音智读模块：</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学习展示区和跟读交互区在同一界面分区布局，其中学习展示区支持动态文本、发音口型动画、音节分解示意图、标准发音播放波形等内容；跟读交互区提供录音按钮、实时音量波形、发音进度条、评测结果等内容；</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 标准发音源生成与管理支持双模式标准发音创建：</w:t>
                  </w:r>
                </w:p>
                <w:p>
                  <w:pPr>
                    <w:pStyle w:val="null3"/>
                    <w:spacing w:after="165"/>
                    <w:ind w:firstLine="400"/>
                    <w:jc w:val="left"/>
                  </w:pPr>
                  <w:r>
                    <w:rPr>
                      <w:rFonts w:ascii="仿宋_GB2312" w:hAnsi="仿宋_GB2312" w:cs="仿宋_GB2312" w:eastAsia="仿宋_GB2312"/>
                      <w:sz w:val="20"/>
                    </w:rPr>
                    <w:t>支持教师音色定制：教师可上传个人标准发音音频，系统自动生成高保真专属发音音色；</w:t>
                  </w:r>
                </w:p>
                <w:p>
                  <w:pPr>
                    <w:pStyle w:val="null3"/>
                    <w:spacing w:after="165"/>
                    <w:ind w:firstLine="400"/>
                    <w:jc w:val="left"/>
                  </w:pPr>
                  <w:r>
                    <w:rPr>
                      <w:rFonts w:ascii="仿宋_GB2312" w:hAnsi="仿宋_GB2312" w:cs="仿宋_GB2312" w:eastAsia="仿宋_GB2312"/>
                      <w:sz w:val="20"/>
                    </w:rPr>
                    <w:t>智能生成标准发音：基于项目内置俄语大模型，支持输入任意俄语文本，一键生成自然、流畅、高保真标准发音音频，支持语速调节、语调自定义、情感风格切换，生成发音无机械感、无吞音、无连读错误；</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 学生完成跟读录音后，系统在500ms 内出具完整发音评测报告，评测结果以颜色标注、音节高亮、错误标记方式直观展示，明确指出错误位置、错误类型、正确发音方式；</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所有跟读录音、评测得分、错误统计、训练时长、训练频次等数据实时回传至《智慧师范生教学能力管理平台》数据中台，支持按学生、班级、课程、学期多维度统计分析，自动生成个人发音薄弱点图谱、班级发音问题汇总报告，为教学针对性提升提供数据支撑；</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5）承诺可在服务期内，免费根据实际教学需求进行≥3次功能定制化开发。（提供相关佐证材料，包含不限于承诺函/截图等）</w:t>
                  </w:r>
                </w:p>
                <w:p>
                  <w:pPr>
                    <w:pStyle w:val="null3"/>
                    <w:spacing w:after="165"/>
                    <w:ind w:left="405"/>
                    <w:jc w:val="left"/>
                  </w:pPr>
                  <w:r>
                    <w:rPr>
                      <w:rFonts w:ascii="仿宋_GB2312" w:hAnsi="仿宋_GB2312" w:cs="仿宋_GB2312" w:eastAsia="仿宋_GB2312"/>
                      <w:sz w:val="20"/>
                      <w:b/>
                    </w:rPr>
                    <w:t>1.3智慧师范生教学能力管理平台：</w:t>
                  </w:r>
                </w:p>
                <w:p>
                  <w:pPr>
                    <w:pStyle w:val="null3"/>
                    <w:spacing w:after="165"/>
                    <w:ind w:firstLine="400"/>
                    <w:jc w:val="left"/>
                  </w:pPr>
                  <w:r>
                    <w:rPr>
                      <w:rFonts w:ascii="仿宋_GB2312" w:hAnsi="仿宋_GB2312" w:cs="仿宋_GB2312" w:eastAsia="仿宋_GB2312"/>
                      <w:sz w:val="20"/>
                    </w:rPr>
                    <w:t>1.3.1总体要求：</w:t>
                  </w:r>
                </w:p>
                <w:p>
                  <w:pPr>
                    <w:pStyle w:val="null3"/>
                    <w:numPr>
                      <w:ilvl w:val="0"/>
                      <w:numId w:val="1"/>
                    </w:numPr>
                    <w:spacing w:after="165"/>
                    <w:jc w:val="left"/>
                  </w:pPr>
                  <w:r>
                    <w:rPr>
                      <w:rFonts w:ascii="仿宋_GB2312" w:hAnsi="仿宋_GB2312" w:cs="仿宋_GB2312" w:eastAsia="仿宋_GB2312"/>
                      <w:sz w:val="20"/>
                    </w:rPr>
                    <w:t>本平台为多语种师范教育场景，整体系统架构、核心业务代码、场景化功能模块均为供应商自主研发、拥有完整知识产权，无开源框架核心依赖、无第三方成品系统嵌套集成，将本次项目采购清单的三大模块（采购清单序号</w:t>
                  </w:r>
                  <w:r>
                    <w:rPr>
                      <w:rFonts w:ascii="仿宋_GB2312" w:hAnsi="仿宋_GB2312" w:cs="仿宋_GB2312" w:eastAsia="仿宋_GB2312"/>
                      <w:sz w:val="20"/>
                    </w:rPr>
                    <w:t>1.2.3）全部底层打通，形成一个账号、一个入口、一套权限、一个数据中台；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2）采用B/S架构，标签化网页管理；</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 支持以学院/专业/班级/学期制进行自定义建设管理，可以针对不同学期自定义课程名称；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 支持与学校统一身份认证或微信系统对接，同步师生信息包括但不限于（专业/班级/学号/一卡通号码），同时支持人员信息一键导入功能；</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 支持班组专业分权账号管理，对所有人员信息进行维护管理；</w:t>
                  </w:r>
                </w:p>
                <w:p>
                  <w:pPr>
                    <w:pStyle w:val="null3"/>
                    <w:spacing w:after="165"/>
                    <w:ind w:left="405"/>
                    <w:jc w:val="left"/>
                  </w:pPr>
                  <w:r>
                    <w:rPr>
                      <w:rFonts w:ascii="仿宋_GB2312" w:hAnsi="仿宋_GB2312" w:cs="仿宋_GB2312" w:eastAsia="仿宋_GB2312"/>
                      <w:sz w:val="20"/>
                    </w:rPr>
                    <w:t>1.3.2《师范生名师沉浸VR实景课堂》管理模块：</w:t>
                  </w:r>
                </w:p>
                <w:p>
                  <w:pPr>
                    <w:pStyle w:val="null3"/>
                    <w:spacing w:after="165"/>
                    <w:ind w:firstLine="400"/>
                    <w:jc w:val="left"/>
                  </w:pPr>
                  <w:r>
                    <w:rPr>
                      <w:rFonts w:ascii="仿宋_GB2312" w:hAnsi="仿宋_GB2312" w:cs="仿宋_GB2312" w:eastAsia="仿宋_GB2312"/>
                      <w:sz w:val="20"/>
                    </w:rPr>
                    <w:t>▲（1）支持对 VR 全景录制设备进行远程全功能控制，包含设备唤醒/休眠、参数配置、实时预览、录制启停、推流控制、存储管理、自动归档等操作，支持分辨率、帧率、码率、ISO、白平衡、编码格式等关键参数可视化配置，录制教学课堂视频后，自动生成全景VR文件，并上传至流媒体服务器完成转码、入库、标签化管理。同时将设备运行状态、存储余量、网络质量异常告警等信息实时同步至数据中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 支持对项目内VR 接入设备进行企业级集群统一管控，具有批量注册、分组管理、状态监控、远程关机、重启、锁屏、系统升级、应用静默安装/卸载、策略配置等功能；支持按班级、课程、教学场景设置应用白名单、开机自启应用、网络配置、权限控制；</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3）可对项目内VR 接入设备执行同步启动、同步暂停、同步退出、同步切换场景、同步下发教学任务等群控操作，支持在线播控与离线播控两种模式，支持大容量 VR 课程文件批量分发、断点续传、完整性校验等；</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4）实时采集 VR 设备运行数据与师范生实训行为数据，包含设备在线状态、电池电量、存储使用率、佩戴状态、应用运行情况、场景停留时长、交互次数、任务完成率等；</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5）具有设备异常自动告警功能，如离线、低电量、存储不足等状态实时预警并记录，能按设备、班级、时间段实时查询和导出。</w:t>
                  </w:r>
                </w:p>
                <w:p>
                  <w:pPr>
                    <w:pStyle w:val="null3"/>
                    <w:spacing w:after="165"/>
                    <w:ind w:left="405"/>
                    <w:jc w:val="left"/>
                  </w:pPr>
                  <w:r>
                    <w:rPr>
                      <w:rFonts w:ascii="仿宋_GB2312" w:hAnsi="仿宋_GB2312" w:cs="仿宋_GB2312" w:eastAsia="仿宋_GB2312"/>
                      <w:sz w:val="20"/>
                    </w:rPr>
                    <w:t>1.3.3 《常来长安-中国西安2025》教学资源管理模块：</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 支持在师范教学场景中自定义AI数字人的人物性格、语言风格等；</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 支持中/俄语言自由切换，系统预留多语种扩展接口，可适配后续新增语种教学需求；</w:t>
                  </w:r>
                </w:p>
                <w:p>
                  <w:pPr>
                    <w:pStyle w:val="null3"/>
                    <w:spacing w:after="165"/>
                    <w:ind w:left="405"/>
                    <w:jc w:val="left"/>
                  </w:pPr>
                  <w:r>
                    <w:rPr>
                      <w:rFonts w:ascii="仿宋_GB2312" w:hAnsi="仿宋_GB2312" w:cs="仿宋_GB2312" w:eastAsia="仿宋_GB2312"/>
                      <w:sz w:val="20"/>
                    </w:rPr>
                    <w:t>1.3.4 数据中台看板：</w:t>
                  </w:r>
                </w:p>
                <w:p>
                  <w:pPr>
                    <w:pStyle w:val="null3"/>
                    <w:spacing w:after="165"/>
                    <w:ind w:left="405"/>
                    <w:jc w:val="left"/>
                  </w:pPr>
                  <w:r>
                    <w:rPr>
                      <w:rFonts w:ascii="仿宋_GB2312" w:hAnsi="仿宋_GB2312" w:cs="仿宋_GB2312" w:eastAsia="仿宋_GB2312"/>
                      <w:sz w:val="20"/>
                    </w:rPr>
                    <w:t>口语训练与师音智读数据看板：</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1）实时统计学期活跃用户数、月度活跃人数、日均使用人数、总使用人次；</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2）统计月度使用频次、单次平均训练时长、日均总训练时长、训练完成率；</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3）展示师音智读模块总跟读次数、评测次数、发音纠错总次数、纠错率；</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4）支持按班级、学生多维度排行统计：发音平均分、进步幅度、薄弱音素分布、重读错误 Top10；</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5）展示教师上传发音音频数量、AI 生成发音次数、语料库调用频次；</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6）实时监控本地模型推理并发数、云端模型调用量、单句平均推理时延、</w:t>
                  </w:r>
                  <w:r>
                    <w:rPr>
                      <w:rFonts w:ascii="仿宋_GB2312" w:hAnsi="仿宋_GB2312" w:cs="仿宋_GB2312" w:eastAsia="仿宋_GB2312"/>
                      <w:sz w:val="20"/>
                    </w:rPr>
                    <w:t>平台</w:t>
                  </w:r>
                  <w:r>
                    <w:rPr>
                      <w:rFonts w:ascii="仿宋_GB2312" w:hAnsi="仿宋_GB2312" w:cs="仿宋_GB2312" w:eastAsia="仿宋_GB2312"/>
                      <w:sz w:val="20"/>
                    </w:rPr>
                    <w:t>并发在线人数；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7）自动生成俄语发音薄弱点热力图、班级能力对比雷达图、</w:t>
                  </w:r>
                  <w:r>
                    <w:rPr>
                      <w:rFonts w:ascii="仿宋_GB2312" w:hAnsi="仿宋_GB2312" w:cs="仿宋_GB2312" w:eastAsia="仿宋_GB2312"/>
                      <w:sz w:val="20"/>
                    </w:rPr>
                    <w:t>学生</w:t>
                  </w:r>
                  <w:r>
                    <w:rPr>
                      <w:rFonts w:ascii="仿宋_GB2312" w:hAnsi="仿宋_GB2312" w:cs="仿宋_GB2312" w:eastAsia="仿宋_GB2312"/>
                      <w:sz w:val="20"/>
                    </w:rPr>
                    <w:t>个人能力成长曲线；</w:t>
                  </w:r>
                </w:p>
                <w:p>
                  <w:pPr>
                    <w:pStyle w:val="null3"/>
                    <w:spacing w:after="165"/>
                    <w:ind w:left="405"/>
                    <w:jc w:val="left"/>
                  </w:pPr>
                  <w:r>
                    <w:rPr>
                      <w:rFonts w:ascii="仿宋_GB2312" w:hAnsi="仿宋_GB2312" w:cs="仿宋_GB2312" w:eastAsia="仿宋_GB2312"/>
                      <w:sz w:val="20"/>
                    </w:rPr>
                    <w:t>师范生名师沉浸</w:t>
                  </w:r>
                  <w:r>
                    <w:rPr>
                      <w:rFonts w:ascii="仿宋_GB2312" w:hAnsi="仿宋_GB2312" w:cs="仿宋_GB2312" w:eastAsia="仿宋_GB2312"/>
                      <w:sz w:val="20"/>
                    </w:rPr>
                    <w:t>VR实景课堂数据看板：</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1）实时展示VR接入设备在线 / 离线 / 故障状态、开机时长、运行时长；</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2）统计总录制次数、总录制时长、8K 全景视频文件数量、总文件大小；</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3）全局展示项目内 VR接入设备在线率、开机率、佩戴状态、当前运行应用；</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4）展示单台设备详情信息，包含：SN 码、系统版本、电池、存储、内存、CPU 占用、信号强度、瞳距参数；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5）统计设备总使用时长、日均使用时长、使用频次最高应用、应用排序；</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6）可实时统计师范生名师沉浸VR实景课堂：课程资源数量、资源播放量、课程时长统计；</w:t>
                  </w:r>
                </w:p>
                <w:p>
                  <w:pPr>
                    <w:pStyle w:val="null3"/>
                    <w:spacing w:after="165"/>
                    <w:ind w:left="405"/>
                    <w:jc w:val="left"/>
                  </w:pPr>
                  <w:r>
                    <w:rPr>
                      <w:rFonts w:ascii="仿宋_GB2312" w:hAnsi="仿宋_GB2312" w:cs="仿宋_GB2312" w:eastAsia="仿宋_GB2312"/>
                      <w:sz w:val="20"/>
                    </w:rPr>
                    <w:t>VR 课程资源 &amp; AI 数字人教学数据看板：</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1）VR 沉浸式课程：针对VR课程资源进行总访问量、单场景访问次数、平均停留时长、完播率等统计；</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2）汇总课程资源总数、资源使用频次、下载次数、更新迭代次数；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3）AI 数字人：月度互动总时长、互动次数、俄语对话轮次；</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4）数字人调用统计：VR 场景调用、热度排行；</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5）多语种支持：中俄切换次数、多语种扩展接口调用状态。</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师范生名师沉浸</w:t>
                  </w:r>
                  <w:r>
                    <w:rPr>
                      <w:rFonts w:ascii="仿宋_GB2312" w:hAnsi="仿宋_GB2312" w:cs="仿宋_GB2312" w:eastAsia="仿宋_GB2312"/>
                      <w:sz w:val="20"/>
                    </w:rPr>
                    <w:t>VR实景课堂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二、师范生名师沉浸</w:t>
                  </w:r>
                  <w:r>
                    <w:rPr>
                      <w:rFonts w:ascii="仿宋_GB2312" w:hAnsi="仿宋_GB2312" w:cs="仿宋_GB2312" w:eastAsia="仿宋_GB2312"/>
                      <w:sz w:val="20"/>
                      <w:b/>
                    </w:rPr>
                    <w:t>VR实景课堂</w:t>
                  </w:r>
                </w:p>
                <w:p>
                  <w:pPr>
                    <w:pStyle w:val="null3"/>
                    <w:spacing w:after="165"/>
                    <w:ind w:firstLine="420"/>
                    <w:jc w:val="left"/>
                  </w:pPr>
                  <w:r>
                    <w:rPr>
                      <w:rFonts w:ascii="仿宋_GB2312" w:hAnsi="仿宋_GB2312" w:cs="仿宋_GB2312" w:eastAsia="仿宋_GB2312"/>
                      <w:sz w:val="20"/>
                      <w:b/>
                    </w:rPr>
                    <w:t>2.1 VR全景录制设备（1台）：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1）≥4枚190°F2.2镜头；≥4枚1/1.8英寸传感器；</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2）ISO范围：100～6400；</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3）拼接全景视频：≥7680×3840@30fps；拼接视频码率：1～100Mbps；</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4）视频色彩深度：支持10bit / 8bit；视频编码格式：兼容H.265 / H.264；视频文件格式：MP4或MOV；</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5）≥8192×4096</w:t>
                  </w:r>
                  <w:r>
                    <w:rPr>
                      <w:rFonts w:ascii="仿宋_GB2312" w:hAnsi="仿宋_GB2312" w:cs="仿宋_GB2312" w:eastAsia="仿宋_GB2312"/>
                      <w:sz w:val="20"/>
                    </w:rPr>
                    <w:t>全景拍摄</w:t>
                  </w:r>
                  <w:r>
                    <w:rPr>
                      <w:rFonts w:ascii="仿宋_GB2312" w:hAnsi="仿宋_GB2312" w:cs="仿宋_GB2312" w:eastAsia="仿宋_GB2312"/>
                      <w:sz w:val="20"/>
                    </w:rPr>
                    <w:t>；</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6）支持Wi-Fi,内置六轴陀螺仪，支持智能防抖、姿态矫正；</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7）防护等级：≥IP68级；</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8）设备可与《智慧师范生教学能力管理平台》无缝联动，实现统一设备管控、状态监控、任务调度；供应商承诺在服务期内，可根据实际教学需求进行不少于三次免费功能定制化开发；（提供相关佐证材料，包含不限于承诺函/截图等）</w:t>
                  </w:r>
                </w:p>
                <w:p>
                  <w:pPr>
                    <w:pStyle w:val="null3"/>
                    <w:spacing w:after="165"/>
                    <w:ind w:left="405"/>
                    <w:jc w:val="left"/>
                  </w:pPr>
                  <w:r>
                    <w:rPr>
                      <w:rFonts w:ascii="仿宋_GB2312" w:hAnsi="仿宋_GB2312" w:cs="仿宋_GB2312" w:eastAsia="仿宋_GB2312"/>
                      <w:sz w:val="20"/>
                      <w:b/>
                    </w:rPr>
                    <w:t>2.2 VR接入设备（20台）：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1）双眼分辨率≥2160×2160，屏幕刷新率≥90HZ；</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2）视场角≥100°；</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3）瞳距范围：58mm～72mm（无级电动瞳距调节）；</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4）应包含陀螺仪/加速度计传感器/MR传感器；</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5）包含但不限于type-c或usb3.0或HDMI等，数量：≥1；</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6）处理器性能≥6核，主频≥2.0GHz；</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7）支持MR混合现实，混合现实传感器≥3200万像素，摄像头≥2；ITOF深度感知摄像头≥1，环境追踪摄像头≥4；</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8）支持Wi-Fi7及蓝牙，每套设备含手柄≥2；</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9）可与《智慧师范生教学能力管理平台》部署联动，实现统一化管理；</w:t>
                  </w:r>
                </w:p>
                <w:p>
                  <w:pPr>
                    <w:pStyle w:val="null3"/>
                    <w:spacing w:after="165"/>
                    <w:ind w:left="405"/>
                    <w:jc w:val="left"/>
                  </w:pPr>
                  <w:r>
                    <w:rPr>
                      <w:rFonts w:ascii="仿宋_GB2312" w:hAnsi="仿宋_GB2312" w:cs="仿宋_GB2312" w:eastAsia="仿宋_GB2312"/>
                      <w:sz w:val="20"/>
                      <w:b/>
                    </w:rPr>
                    <w:t>2.3 流媒体服务器（1台）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1）≥2U标准机架式；</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2）处理器：配置≥2颗可扩展处理器；单颗处理器≥24核心，≥2.1GHz主频；</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3）内存：配置≥2根32GB DDR4；</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4）存储：配置≥2*480GB 2.5寸 SATA企业级固态硬盘，≥4*16TB 3.5寸SATA硬盘；</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5）网络：配置≥2*千兆电口，≥2*万兆光口（满配光模块）；</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6）电源：配置≥2个800W冗余电源模块，支持冗余；</w:t>
                  </w:r>
                </w:p>
                <w:p>
                  <w:pPr>
                    <w:pStyle w:val="null3"/>
                    <w:spacing w:after="165"/>
                    <w:ind w:firstLine="400"/>
                    <w:jc w:val="left"/>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7）为确保产品兼容性和可靠性，投标人所投该硬件产品需与智慧师范生教学能力管理平台匹配；</w:t>
                  </w:r>
                </w:p>
                <w:p>
                  <w:pPr>
                    <w:pStyle w:val="null3"/>
                    <w:spacing w:after="165"/>
                    <w:ind w:left="405"/>
                    <w:jc w:val="left"/>
                  </w:pPr>
                  <w:r>
                    <w:rPr>
                      <w:rFonts w:ascii="仿宋_GB2312" w:hAnsi="仿宋_GB2312" w:cs="仿宋_GB2312" w:eastAsia="仿宋_GB2312"/>
                      <w:sz w:val="20"/>
                      <w:b/>
                    </w:rPr>
                    <w:t>2.4 核心交换机（1台）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1）交换容量≥2.30Tbps，整机转发性能≥1600Mpps；</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2）万兆电口≥24个，万兆光口≥4个；</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3）支持IPv4和IPv6的三层路由功能，支持静态路由、RIP、OSPF和BGP等；</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4）支持对交换机自身环路、下联设备环路的识别告警、自动阻断和环路解除后的端口自动恢复及提示；支持对病毒的网络层传播行为进行溯源及阻断。</w:t>
                  </w:r>
                </w:p>
                <w:p>
                  <w:pPr>
                    <w:pStyle w:val="null3"/>
                    <w:spacing w:after="165"/>
                    <w:ind w:left="405"/>
                    <w:jc w:val="left"/>
                  </w:pPr>
                  <w:r>
                    <w:rPr>
                      <w:rFonts w:ascii="仿宋_GB2312" w:hAnsi="仿宋_GB2312" w:cs="仿宋_GB2312" w:eastAsia="仿宋_GB2312"/>
                      <w:sz w:val="20"/>
                      <w:b/>
                    </w:rPr>
                    <w:t>2.5 智慧黑板1（1台）</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智慧黑板总体尺寸：≥4500×1355×103mm；设备外壳材质为全金属，外观采用三拼接平面一体化设计，其主屏整体尺寸≥98寸；副屏支持磁吸附功能，两侧副屏支持媒介（普通粉笔、液体粉笔、成膜笔）进行板书书写；</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2）整机嵌入式系统版本≥Android 16，CPU≥8核，主频≥2.2GHz，内存≥4GB，存储空间≥64GB；</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4）整机设备内置2.2声道扬声器蓝牙芯片与Wi-Fi，12W高音扬声器2个，上朝向30W中低音扬声器2个；</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5）支持PPT的原生解析，教师可将pptx课件转化为互动教学课件，支持单份导入和批量文件夹导入两种导入方式，保留pptx原文件中的文字、图片、表格等对象及动画的可编辑性，并可为课件增加互动教学元素。需提供相关证明材料（包括但不限于检测报告、官网截图和功能截图）</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6）AI课堂数据分析：一览课堂重要数据，智能分析授课内容生成高频词语，提炼师生互动生成课堂问答，老师可掌握课堂的重点与方向；</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7）可与本项目中《AI大语言模型一体机》联动，可提供定制化师范生教学场景分析。</w:t>
                  </w:r>
                </w:p>
                <w:p>
                  <w:pPr>
                    <w:pStyle w:val="null3"/>
                    <w:spacing w:after="165"/>
                    <w:ind w:left="405"/>
                    <w:jc w:val="left"/>
                  </w:pPr>
                  <w:r>
                    <w:rPr>
                      <w:rFonts w:ascii="仿宋_GB2312" w:hAnsi="仿宋_GB2312" w:cs="仿宋_GB2312" w:eastAsia="仿宋_GB2312"/>
                      <w:sz w:val="20"/>
                      <w:b/>
                    </w:rPr>
                    <w:t>2.6 智慧黑板2（2台）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1）整机屏幕采用≥98英寸液晶显示器，显示分辨率3840x2160，可视⻆度≥178°；</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2）整机嵌入式系统版本≥Android 16，CPU≥8核，主频≥2.2GHz，内存≥4GB，存储空间≥64GB；</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3）整机设备内置2.2声道扬声器蓝牙芯片与Wi-Fi，12W高音扬声器2个，上朝向30W中低音扬声器2个；</w:t>
                  </w:r>
                </w:p>
                <w:p>
                  <w:pPr>
                    <w:pStyle w:val="null3"/>
                    <w:spacing w:after="165"/>
                    <w:ind w:left="405"/>
                    <w:jc w:val="left"/>
                  </w:pPr>
                  <w:r>
                    <w:rPr>
                      <w:rFonts w:ascii="仿宋_GB2312" w:hAnsi="仿宋_GB2312" w:cs="仿宋_GB2312" w:eastAsia="仿宋_GB2312"/>
                      <w:sz w:val="20"/>
                      <w:b/>
                    </w:rPr>
                    <w:t>2.7 VR串流设备（2台）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1）处理器配置≥1颗，频率≥5.2GHz；≥8核心；≥16线程；</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2）≥2根16GB DDR4；</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3）显存≥16G；</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4）存储≥1*1TB NVME M.2固态硬盘；</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5）外规格尺寸≤350mm（长）205mm（宽）300mm（高）；</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6）网络配置≥1*千兆电口；</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VR沉浸式师范教育课程资源</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三、</w:t>
                  </w:r>
                  <w:r>
                    <w:rPr>
                      <w:rFonts w:ascii="仿宋_GB2312" w:hAnsi="仿宋_GB2312" w:cs="仿宋_GB2312" w:eastAsia="仿宋_GB2312"/>
                      <w:sz w:val="20"/>
                      <w:b/>
                    </w:rPr>
                    <w:t>VR沉浸式师范教育课程资源</w:t>
                  </w:r>
                </w:p>
                <w:p>
                  <w:pPr>
                    <w:pStyle w:val="null3"/>
                    <w:spacing w:after="165"/>
                    <w:ind w:firstLine="402"/>
                    <w:jc w:val="left"/>
                  </w:pPr>
                  <w:r>
                    <w:rPr>
                      <w:rFonts w:ascii="仿宋_GB2312" w:hAnsi="仿宋_GB2312" w:cs="仿宋_GB2312" w:eastAsia="仿宋_GB2312"/>
                      <w:sz w:val="20"/>
                      <w:b/>
                    </w:rPr>
                    <w:t>3.1 虚拟仿真数字课程资源</w:t>
                  </w:r>
                </w:p>
                <w:p>
                  <w:pPr>
                    <w:pStyle w:val="null3"/>
                    <w:spacing w:after="165"/>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总体要求：</w:t>
                  </w:r>
                  <w:r>
                    <w:rPr>
                      <w:rFonts w:ascii="仿宋_GB2312" w:hAnsi="仿宋_GB2312" w:cs="仿宋_GB2312" w:eastAsia="仿宋_GB2312"/>
                      <w:sz w:val="20"/>
                    </w:rPr>
                    <w:t>整体场景需单独建模，整体教学课程资源采用自然语言对话</w:t>
                  </w:r>
                  <w:r>
                    <w:rPr>
                      <w:rFonts w:ascii="仿宋_GB2312" w:hAnsi="仿宋_GB2312" w:cs="仿宋_GB2312" w:eastAsia="仿宋_GB2312"/>
                      <w:sz w:val="20"/>
                    </w:rPr>
                    <w:t>+VR实景360度视频及画面完成；</w:t>
                  </w:r>
                </w:p>
                <w:p>
                  <w:pPr>
                    <w:pStyle w:val="null3"/>
                    <w:spacing w:after="165"/>
                    <w:ind w:firstLine="400"/>
                    <w:jc w:val="left"/>
                  </w:pPr>
                  <w:r>
                    <w:rPr>
                      <w:rFonts w:ascii="仿宋_GB2312" w:hAnsi="仿宋_GB2312" w:cs="仿宋_GB2312" w:eastAsia="仿宋_GB2312"/>
                      <w:sz w:val="20"/>
                    </w:rPr>
                    <w:t>★（2）根据教学实际需求，从经济工业、“一带一路”丝绸之路、旅游风景、科技文化四个方面，包含但不限于（“中欧班列”“丝绸之路国际旅游博览会”“农业高新科技成果博览会”“中国中亚峰会”）等场景，制作≥8个沉浸式VR俄语教学介绍场景，所有场景要求实景拍摄或建模，无知识产权纠纷、无版权纠纷。</w:t>
                  </w:r>
                </w:p>
                <w:p>
                  <w:pPr>
                    <w:pStyle w:val="null3"/>
                    <w:spacing w:after="165"/>
                    <w:ind w:firstLine="420"/>
                    <w:jc w:val="left"/>
                  </w:pPr>
                  <w:r>
                    <w:rPr>
                      <w:rFonts w:ascii="仿宋_GB2312" w:hAnsi="仿宋_GB2312" w:cs="仿宋_GB2312" w:eastAsia="仿宋_GB2312"/>
                      <w:sz w:val="20"/>
                      <w:b/>
                    </w:rPr>
                    <w:t>3.2 高精度AI数字人：</w:t>
                  </w:r>
                </w:p>
                <w:p>
                  <w:pPr>
                    <w:pStyle w:val="null3"/>
                    <w:spacing w:after="165"/>
                    <w:ind w:firstLine="420"/>
                    <w:jc w:val="left"/>
                  </w:pPr>
                  <w:r>
                    <w:rPr>
                      <w:rFonts w:ascii="仿宋_GB2312" w:hAnsi="仿宋_GB2312" w:cs="仿宋_GB2312" w:eastAsia="仿宋_GB2312"/>
                      <w:sz w:val="20"/>
                    </w:rPr>
                    <w:t>定制开发</w:t>
                  </w:r>
                  <w:r>
                    <w:rPr>
                      <w:rFonts w:ascii="仿宋_GB2312" w:hAnsi="仿宋_GB2312" w:cs="仿宋_GB2312" w:eastAsia="仿宋_GB2312"/>
                      <w:sz w:val="20"/>
                    </w:rPr>
                    <w:t>1个高精度AI数字人，可与本项目内的AI大模型联动，实时调用模型语言能力，实现俄语对话、教学讲解、语音交互功能；</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1）模型尺度严格 1:1（真实人体身高 1.7～1.8m）；面部 52～72 个 BlendShape，支持细腻表情与说话；骨骼标准、动作权重自然；VR近距离1～2 米观看画面超清真实，无塑料质感、无动作扭曲失真；</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2）身体部分≥20000三角面，头部≥10000三角面（头发总量3万～6万根，需分层，支持物理摆动），完整角色总面数≥40000面。</w:t>
                  </w:r>
                </w:p>
                <w:p>
                  <w:pPr>
                    <w:pStyle w:val="null3"/>
                    <w:spacing w:after="165"/>
                    <w:ind w:firstLine="420"/>
                    <w:jc w:val="left"/>
                  </w:pPr>
                  <w:r>
                    <w:rPr>
                      <w:rFonts w:ascii="仿宋_GB2312" w:hAnsi="仿宋_GB2312" w:cs="仿宋_GB2312" w:eastAsia="仿宋_GB2312"/>
                      <w:sz w:val="20"/>
                    </w:rPr>
                    <w:t>模型拓扑要求：</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1）全四边面，禁止 N 边形；</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2）关节必须3 圈以上循环线：肩、肘、腕、髋、膝、踝；</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3）脊柱、胸、腰布线支持弯曲、扭转、呼吸；</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 面部：眼周4 环、嘴放射布线、唇周密集、鼻翼结构清晰；</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 手指：每节至少4 段线，保证弯曲自然；</w:t>
                  </w:r>
                </w:p>
                <w:p>
                  <w:pPr>
                    <w:pStyle w:val="null3"/>
                    <w:spacing w:after="165"/>
                    <w:ind w:firstLine="420"/>
                    <w:jc w:val="left"/>
                  </w:pPr>
                  <w:r>
                    <w:rPr>
                      <w:rFonts w:ascii="仿宋_GB2312" w:hAnsi="仿宋_GB2312" w:cs="仿宋_GB2312" w:eastAsia="仿宋_GB2312"/>
                      <w:sz w:val="20"/>
                    </w:rPr>
                    <w:t>UV 规范要求：</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1）一套 UV，无重叠、无拉伸；</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2）纹素密度：头部 &gt; 手 &gt; 身体；</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3）主角贴图：4K（超清）；</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4）禁止拉伸严重区域：脸、手掌、腋下、膝盖；</w:t>
                  </w:r>
                </w:p>
                <w:p>
                  <w:pPr>
                    <w:pStyle w:val="null3"/>
                    <w:spacing w:after="165"/>
                    <w:ind w:firstLine="420"/>
                    <w:jc w:val="left"/>
                  </w:pPr>
                  <w:r>
                    <w:rPr>
                      <w:rFonts w:ascii="仿宋_GB2312" w:hAnsi="仿宋_GB2312" w:cs="仿宋_GB2312" w:eastAsia="仿宋_GB2312"/>
                      <w:sz w:val="20"/>
                    </w:rPr>
                    <w:t>（</w:t>
                  </w:r>
                  <w:r>
                    <w:rPr>
                      <w:rFonts w:ascii="仿宋_GB2312" w:hAnsi="仿宋_GB2312" w:cs="仿宋_GB2312" w:eastAsia="仿宋_GB2312"/>
                      <w:sz w:val="20"/>
                    </w:rPr>
                    <w:t>5）PBR 材质贴图规范要求：每种贴图必须6套（每张 2K/4K）：Base Color、Normal、Roughness、Metallic、AO、Thickness / SSS Mask。</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 ，达到付款条件起5个工作日内，支付合同总金额的60.0%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 包装方式及运输：包装完整，运输安全可靠，按合同约定时间及地点供货，做好货物包装、保险及跟踪等保障工作。 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4.与使用设备相配套的软件3年内由中标人负责免费更新升级。 5.保险要求 5.1.风险承担 在货物运抵采购人指定地点并经开箱验收合格前，货物毁损、灭失的风险由中标人承担。中标人应采取必要的防护措施，确保货物在运输、装卸及仓储过程中的安全。 5.2.保险责任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5.3.索赔与理赔 若在运输或保管过程中发生保险范围内的损失，中标人应负责立即向保险公司索赔。若因中标人未及时投保、投保金额不足或未正确填写被保险人，导致采购人无法获得足额赔偿的，由中标人承担全部赔偿责任。 6.供货安装要求 中标人应按照合同约定、采购文件及投标（响应）文件的承诺，向采购人提供完整的货物、技术资料（包括但不限于产品说明书、合格证、保修卡、安装图纸、操作手册等）、专用工具及备品备件。 6.1.现场条件确认 中标人在安装前，应与采购人共同勘查现场，确认水、电、场地等基础条件满足安装要求。 6.2.安装人员资质 中标人应派具备相应技术能力的人员进行安装。如设备属于国家规定的特种设备，安装人员须持有国家规定从业资格（如特种设备作业、电工、焊工等强制性证书）。 安装人员在施工期间应遵守采购人现场管理规定，佩戴工作证件，做到文明施工、安全施工。 6.3.安装标准 安装质量应符合国家现行有效的技术标准、行业规范以及制造商规定的安装要求。安装过程中，中标人应采取必要的安全防护措施，设置警示标志。因中标人原因造成的人员伤亡或财产损失，由中标人承担全部责任。 6.4.调试与试运行 安装完成后，中标人应进行系统调试，确保各项功能、性能指标符合合同约定及投标承诺。试运行期30日，试运行期间，中标人应派技术人员现场跟班保障，及时处理运行中出现的问题。试运行正常后，方可进入正式验收程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2.若投标人采用保函形式缴纳投标保证金，请投标人在开标前一天告知代理机构并将保函扫描件发送到代理机构负责人邮箱（525633509@qq.com）。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备注：开标评标结束后，中标人须无偿向采购人提供盖章齐全的纸质版投标文件两套（正本1套、副本1套），纸质版投标文件内容须与电子投标文件保持一致。纸质版投标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开标一览表 技术偏离表.pdf 投标方案或技术方案.pdf 本国产品说明 中小企业声明函 商务应答表 中国境内生产的组件成本核算基本规则 投标分项报价表.pdf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技术偏离表.pdf 本国产品说明 投标方案或技术方案.pdf 中小企业声明函 商务应答表 中国境内生产的组件成本核算基本规则 投标分项报价表.pdf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开标一览表 技术偏离表.pdf 本国产品说明 投标方案或技术方案.pdf 中小企业声明函 商务应答表 中国境内生产的组件成本核算基本规则 投标分项报价表.pdf 投标函 残疾人福利性单位声明函 标的清单 关于符合本国产品标准的声明函 投标文件封面 资格证明文件部分.pdf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资格证明文件部分.pdf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资格证明文件部分.pdf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技术偏离表.pdf 本国产品说明 中小企业声明函 商务应答表 中国境内生产的组件成本核算基本规则 投标分项报价表.pdf 投标函 残疾人福利性单位声明函 标的清单 关于符合本国产品标准的声明函 投标文件封面 资格证明文件部分.pdf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 投标文件封面 投标分项报价表.pdf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投标文件封面 资格证明文件部分.pdf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技术偏离表.pdf 商务应答表 标的清单 投标文件封面 投标分项报价表.pdf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技术偏离表.pdf 本国产品说明 中小企业声明函 商务应答表 中国境内生产的组件成本核算基本规则 投标分项报价表.pdf 投标函 残疾人福利性单位声明函 标的清单 关于符合本国产品标准的声明函 投标文件封面 资格证明文件部分.pdf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1、标“▲”重要参数指标（共5项），每满足一项，得2.5分，满分12.5分。 2、非“▲”项参数指标（共106项），每满足一项，得0.25分，满分26.5；扣完为止。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述标情况（线下）</w:t>
            </w:r>
          </w:p>
        </w:tc>
        <w:tc>
          <w:tcPr>
            <w:tcW w:type="dxa" w:w="2492"/>
          </w:tcPr>
          <w:p>
            <w:pPr>
              <w:pStyle w:val="null3"/>
            </w:pPr>
            <w:r>
              <w:rPr>
                <w:rFonts w:ascii="仿宋_GB2312" w:hAnsi="仿宋_GB2312" w:cs="仿宋_GB2312" w:eastAsia="仿宋_GB2312"/>
              </w:rPr>
              <w:t>①多语种口语训练模块； ②投标人过往项目中VR呈现效果； ③智慧师范生教学能力管理平台。 每项演示内容或样片内容完整符合采购需求、成功验证计2分，未提供演示或演示内容不满足采购需求不得分。满分6分。 注：投标人须线下自行准备演示环境进行演示； 演示地点：陕西省西安市雁塔区锦业路1号都市之门C座9层评标五室（演示时间同“提交投标文件截止时间、开标时间，具体时间请以发出的招标公告时间为准。”）； 演示形式：产品真实环境或样片视频演示，演示时间不超过10分钟。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投标人技术能力</w:t>
            </w:r>
          </w:p>
        </w:tc>
        <w:tc>
          <w:tcPr>
            <w:tcW w:type="dxa" w:w="2492"/>
          </w:tcPr>
          <w:p>
            <w:pPr>
              <w:pStyle w:val="null3"/>
            </w:pPr>
            <w:r>
              <w:rPr>
                <w:rFonts w:ascii="仿宋_GB2312" w:hAnsi="仿宋_GB2312" w:cs="仿宋_GB2312" w:eastAsia="仿宋_GB2312"/>
              </w:rPr>
              <w:t>软件源代码自主安全可控：投标人针对本项目所投产品“智慧师范生教学能力管理平台”提供有效承诺函，得4分。承诺函须包含以下核心内容：项目软件产品交付时，100%完整交付全部源代码，做到无删减、无加密、无保留、无隐藏程序；自愿同意采购人及招标监管部门委托的第三方鉴定机构，对项目交付源代码、软件产品及相关配套成果开展全面审查、核验与测评，确保所有交付内容、技术标准完全符合本招标文件全部规定及项目建设要求。未提供承诺函、承诺内容缺失关键条款或承诺内容不符合要求的，本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投标方案或技术方案.pdf</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投标人具有有效的质量管理体系、有效的信息技术服务管理体系认证、有效的信息安全管理体系认证证书，每提供一个认证得1分，未提供不得分。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及配送方案；②设备调试方案；③人员配备方案（包括但不限于项目负责人、安装调试人员、配送人员、培训人员、售后服务技术人员等）；④应急预案及特殊情况处理措施；⑤产品供货渠道（包括但不限于原厂授权、销售协议、代理协议等资料）；⑥质量保证措施（包括但不限于设备品质、制造工艺、易损易耗品响应方案等）；⑦售后服务保障内容（包括但不限于质保期内和质保期后的正常维护和维修响应时间等售后服务措施）；⑧产品使用培训方案（包括但不限于培训安排、培训目的、培训目标、培训计划等）。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①售后服务机构地址，电话联系人、售后服务人员组织；②售后服务保障措施，产品交付采购方后出现质量问题的响应时间；③售后服务承诺及培训要求；如出现供货不及时、出现残次品等补货换货解决方案。 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资格证明文件部分.pdf</w:t>
            </w:r>
          </w:p>
          <w:p>
            <w:pPr>
              <w:pStyle w:val="null3"/>
            </w:pPr>
            <w:r>
              <w:rPr>
                <w:rFonts w:ascii="仿宋_GB2312" w:hAnsi="仿宋_GB2312" w:cs="仿宋_GB2312" w:eastAsia="仿宋_GB2312"/>
              </w:rPr>
              <w:t>投标方案或技术方案.pdf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详见附件：技术偏离表.pdf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详见附件：资格证明文件部分.pdf</w:t>
      </w:r>
    </w:p>
    <w:p>
      <w:pPr>
        <w:pStyle w:val="null3"/>
        <w:ind w:firstLine="960"/>
      </w:pPr>
      <w:r>
        <w:rPr>
          <w:rFonts w:ascii="仿宋_GB2312" w:hAnsi="仿宋_GB2312" w:cs="仿宋_GB2312" w:eastAsia="仿宋_GB2312"/>
        </w:rPr>
        <w:t>详见附件：投标方案或技术方案.pdf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