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版本号：LZBC2026-55420260525001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普通高中育人方式改革（重点学科提升）项目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LZBC2026-554</w:t>
      </w:r>
      <w:r>
        <w:br/>
      </w:r>
      <w:r>
        <w:br/>
      </w:r>
      <w:r>
        <w:br/>
      </w:r>
    </w:p>
    <w:p>
      <w:pPr>
        <w:pStyle w:val="null3"/>
        <w:jc w:val="center"/>
        <w:outlineLvl w:val="2"/>
      </w:pPr>
      <w:r>
        <w:rPr>
          <w:rFonts w:ascii="仿宋_GB2312" w:hAnsi="仿宋_GB2312" w:cs="仿宋_GB2312" w:eastAsia="仿宋_GB2312"/>
          <w:sz w:val="28"/>
          <w:b/>
        </w:rPr>
        <w:t>西安市第八十五中学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西安市第八十五中学</w:t>
      </w:r>
      <w:r>
        <w:rPr>
          <w:rFonts w:ascii="仿宋_GB2312" w:hAnsi="仿宋_GB2312" w:cs="仿宋_GB2312" w:eastAsia="仿宋_GB2312"/>
        </w:rPr>
        <w:t>委托，拟对</w:t>
      </w:r>
      <w:r>
        <w:rPr>
          <w:rFonts w:ascii="仿宋_GB2312" w:hAnsi="仿宋_GB2312" w:cs="仿宋_GB2312" w:eastAsia="仿宋_GB2312"/>
        </w:rPr>
        <w:t>普通高中育人方式改革（重点学科提升）项目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LZBC2026-554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普通高中育人方式改革（重点学科提升）项目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本次拟对西安市第八十五中学普通高中育人方式改革（重点学科提升）项目进行采购，具体详见竞争性磋商文件。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采购包1（普通高中育人方式改革（重点学科提升）项目）：属于专门面向中小企业采购。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需提供合法有效的营业执照，其他组织需提供合法有效的营业执照等证明资料，自然人须提供身份证明。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财务状况报告：供应商2024年或2025年经审计的财务报告（事业法人可提供部门决算报告）或基本开户银行出具的资信证明或担保机构出具的投标担保函，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履行合同所必需的设备和专业技术能力书面声明函：供应商应提供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信用状况：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p>
      <w:pPr>
        <w:pStyle w:val="null3"/>
      </w:pPr>
      <w:r>
        <w:rPr>
          <w:rFonts w:ascii="仿宋_GB2312" w:hAnsi="仿宋_GB2312" w:cs="仿宋_GB2312" w:eastAsia="仿宋_GB2312"/>
        </w:rPr>
        <w:t>7、本项目是否为专门面向中小企业的采购：本项目为专门面向中小企业的采购（监狱企业、残疾人福利性单位视同小微企业），需提供《中小企业声明函》或《监狱企业的证明文件》或《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西安市第八十五中学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翠华路254号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王若莹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029-87875152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易景元、胡敏、王申午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2、成交供应商在取得成交通知书时，向采购代理机构一次性缴付成交服务费。代理服务费以转账或现金形式缴纳至以下账户： 开户名称：龙寰项目管理咨询有限公司 开户银行：平安银行西安高新路支行 账号：30201278018576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西安市第八十五中学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西安市第八十五中学</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西安市第八十五中学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联系人：易景元、胡敏、王申午</w:t>
      </w:r>
    </w:p>
    <w:p>
      <w:pPr>
        <w:pStyle w:val="null3"/>
      </w:pPr>
      <w:r>
        <w:rPr>
          <w:rFonts w:ascii="仿宋_GB2312" w:hAnsi="仿宋_GB2312" w:cs="仿宋_GB2312" w:eastAsia="仿宋_GB2312"/>
        </w:rPr>
        <w:t>联系电话：029-88228899-635</w:t>
      </w:r>
    </w:p>
    <w:p>
      <w:pPr>
        <w:pStyle w:val="null3"/>
      </w:pPr>
      <w:r>
        <w:rPr>
          <w:rFonts w:ascii="仿宋_GB2312" w:hAnsi="仿宋_GB2312" w:cs="仿宋_GB2312" w:eastAsia="仿宋_GB2312"/>
        </w:rPr>
        <w:t>地址：陕西省西安市高新区太白南路181号A座A区501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西安市第八十五中学普通高中育人方式改革（重点学科提升）项目。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教师培训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标的名称：教师培训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0"/>
                <w:b/>
              </w:rPr>
              <w:t>一、项目背景</w:t>
            </w:r>
          </w:p>
          <w:p>
            <w:pPr>
              <w:pStyle w:val="null3"/>
              <w:spacing w:before="105" w:after="105"/>
              <w:ind w:firstLine="400"/>
              <w:jc w:val="both"/>
            </w:pPr>
            <w:r>
              <w:rPr>
                <w:rFonts w:ascii="仿宋_GB2312" w:hAnsi="仿宋_GB2312" w:cs="仿宋_GB2312" w:eastAsia="仿宋_GB2312"/>
                <w:sz w:val="20"/>
              </w:rPr>
              <w:t>为精准对接高考改革方向，特需组织专题培训，通过“名师通识讲座+名校实地研学”的形式，让教师沉浸式学习先进经验，切实提升应对新高考的核心教学能力，为学生高质量备考与学校教学质量提升筑牢基础。</w:t>
            </w:r>
          </w:p>
          <w:p>
            <w:pPr>
              <w:pStyle w:val="null3"/>
              <w:spacing w:before="105" w:after="105"/>
              <w:jc w:val="both"/>
            </w:pPr>
            <w:r>
              <w:rPr>
                <w:rFonts w:ascii="仿宋_GB2312" w:hAnsi="仿宋_GB2312" w:cs="仿宋_GB2312" w:eastAsia="仿宋_GB2312"/>
                <w:sz w:val="20"/>
                <w:b/>
              </w:rPr>
              <w:t>二、采购内容</w:t>
            </w:r>
          </w:p>
          <w:p>
            <w:pPr>
              <w:pStyle w:val="null3"/>
              <w:ind w:firstLine="400"/>
              <w:jc w:val="left"/>
            </w:pPr>
            <w:r>
              <w:rPr>
                <w:rFonts w:ascii="仿宋_GB2312" w:hAnsi="仿宋_GB2312" w:cs="仿宋_GB2312" w:eastAsia="仿宋_GB2312"/>
                <w:sz w:val="20"/>
              </w:rPr>
              <w:t>（一）主要内容</w:t>
            </w:r>
          </w:p>
          <w:p>
            <w:pPr>
              <w:pStyle w:val="null3"/>
              <w:ind w:firstLine="400"/>
              <w:jc w:val="left"/>
            </w:pPr>
            <w:r>
              <w:rPr>
                <w:rFonts w:ascii="仿宋_GB2312" w:hAnsi="仿宋_GB2312" w:cs="仿宋_GB2312" w:eastAsia="仿宋_GB2312"/>
                <w:sz w:val="20"/>
              </w:rPr>
              <w:t>1.毕业班教师培训：通过名校访学研修，让毕业班教师学习先进的教学理念和备考策略，提高教学针对性和有效性，使西安市第八十五中学高考、中考成绩在原有基础上实现显著提升，本科上线率、重点高中录取率达到学校既定目标。</w:t>
            </w:r>
          </w:p>
          <w:p>
            <w:pPr>
              <w:pStyle w:val="null3"/>
              <w:ind w:firstLine="400"/>
              <w:jc w:val="left"/>
            </w:pPr>
            <w:r>
              <w:rPr>
                <w:rFonts w:ascii="仿宋_GB2312" w:hAnsi="仿宋_GB2312" w:cs="仿宋_GB2312" w:eastAsia="仿宋_GB2312"/>
                <w:sz w:val="20"/>
              </w:rPr>
              <w:t>2.班主任管理能力培训：开展班主任年度培训提升活动，更新班主任教育管理理念，掌握先进的班级管理方法和技巧，打造一支具有高度责任心、创新精神和专业素养的班主任队伍，提高班级管理水平，营造良好的班风和学风。</w:t>
            </w:r>
          </w:p>
          <w:p>
            <w:pPr>
              <w:pStyle w:val="null3"/>
              <w:ind w:firstLine="400"/>
              <w:jc w:val="left"/>
            </w:pPr>
            <w:r>
              <w:rPr>
                <w:rFonts w:ascii="仿宋_GB2312" w:hAnsi="仿宋_GB2312" w:cs="仿宋_GB2312" w:eastAsia="仿宋_GB2312"/>
                <w:sz w:val="20"/>
              </w:rPr>
              <w:t>3.基础学科教学提升培训：通过一系列质量提升措施，优化课程设置，改进教学方法，提高课堂教学效率，提升学生的学科基础知识和基本技能，使学生在相关学科的优秀率、及格率明显提高。</w:t>
            </w:r>
          </w:p>
          <w:p>
            <w:pPr>
              <w:pStyle w:val="null3"/>
              <w:ind w:firstLine="400"/>
              <w:jc w:val="left"/>
            </w:pPr>
            <w:r>
              <w:rPr>
                <w:rFonts w:ascii="仿宋_GB2312" w:hAnsi="仿宋_GB2312" w:cs="仿宋_GB2312" w:eastAsia="仿宋_GB2312"/>
                <w:sz w:val="20"/>
              </w:rPr>
              <w:t>4.校本资源完善实操：设置校本编写培训实操环节，搭配名师指导、名校案例借鉴，同时学校可统筹教研力量组建编写小组，整合真题、学情数据等资源，为练习册编写提供素材支撑，降低编写难度；分工协作推进，确保有序落地，贴合教学与备考需求。</w:t>
            </w:r>
          </w:p>
          <w:p>
            <w:pPr>
              <w:pStyle w:val="null3"/>
              <w:ind w:firstLine="400"/>
              <w:jc w:val="left"/>
            </w:pPr>
            <w:r>
              <w:rPr>
                <w:rFonts w:ascii="仿宋_GB2312" w:hAnsi="仿宋_GB2312" w:cs="仿宋_GB2312" w:eastAsia="仿宋_GB2312"/>
                <w:sz w:val="20"/>
              </w:rPr>
              <w:t>5.培训项目：</w:t>
            </w:r>
          </w:p>
          <w:tbl>
            <w:tblPr>
              <w:tblInd w:type="dxa" w:w="90"/>
              <w:tblBorders>
                <w:top w:val="none" w:color="000000" w:sz="4"/>
                <w:left w:val="none" w:color="000000" w:sz="4"/>
                <w:bottom w:val="none" w:color="000000" w:sz="4"/>
                <w:right w:val="none" w:color="000000" w:sz="4"/>
                <w:insideH w:val="none"/>
                <w:insideV w:val="none"/>
              </w:tblBorders>
            </w:tblPr>
            <w:tblGrid>
              <w:gridCol w:w="1953"/>
              <w:gridCol w:w="592"/>
            </w:tblGrid>
            <w:tr>
              <w:tc>
                <w:tcPr>
                  <w:tcW w:type="dxa" w:w="1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项目</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200"/>
                    <w:jc w:val="center"/>
                  </w:pPr>
                  <w:r>
                    <w:rPr>
                      <w:rFonts w:ascii="仿宋_GB2312" w:hAnsi="仿宋_GB2312" w:cs="仿宋_GB2312" w:eastAsia="仿宋_GB2312"/>
                      <w:sz w:val="20"/>
                      <w:color w:val="000000"/>
                    </w:rPr>
                    <w:t>人数</w:t>
                  </w:r>
                </w:p>
              </w:tc>
            </w:tr>
            <w:tr>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高三骨干教师研修</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30</w:t>
                  </w:r>
                </w:p>
              </w:tc>
            </w:tr>
            <w:tr>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初三骨干教师研修</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20</w:t>
                  </w:r>
                </w:p>
              </w:tc>
            </w:tr>
            <w:tr>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教师综合素养提升暑期培训</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167</w:t>
                  </w:r>
                </w:p>
              </w:tc>
            </w:tr>
            <w:tr>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班主任综合素养提升研讨会</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60</w:t>
                  </w:r>
                </w:p>
              </w:tc>
            </w:tr>
            <w:tr>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校本作业精准设计研修项目</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color w:val="000000"/>
                    </w:rPr>
                    <w:t>167</w:t>
                  </w:r>
                </w:p>
              </w:tc>
            </w:tr>
          </w:tbl>
          <w:p>
            <w:pPr>
              <w:pStyle w:val="null3"/>
              <w:ind w:firstLine="400"/>
              <w:jc w:val="left"/>
            </w:pPr>
            <w:r>
              <w:rPr>
                <w:rFonts w:ascii="仿宋_GB2312" w:hAnsi="仿宋_GB2312" w:cs="仿宋_GB2312" w:eastAsia="仿宋_GB2312"/>
                <w:sz w:val="20"/>
              </w:rPr>
              <w:t>（二）验收要求</w:t>
            </w:r>
          </w:p>
          <w:p>
            <w:pPr>
              <w:pStyle w:val="null3"/>
              <w:ind w:firstLine="400"/>
              <w:jc w:val="left"/>
            </w:pPr>
            <w:r>
              <w:rPr>
                <w:rFonts w:ascii="仿宋_GB2312" w:hAnsi="仿宋_GB2312" w:cs="仿宋_GB2312" w:eastAsia="仿宋_GB2312"/>
                <w:sz w:val="20"/>
              </w:rPr>
              <w:t>1.培训方案紧扣课堂教学、教研能力、专业素养提升目标，符合国家、省市相关培训标准。</w:t>
            </w:r>
          </w:p>
          <w:p>
            <w:pPr>
              <w:pStyle w:val="null3"/>
              <w:ind w:firstLine="400"/>
              <w:jc w:val="left"/>
            </w:pPr>
            <w:r>
              <w:rPr>
                <w:rFonts w:ascii="仿宋_GB2312" w:hAnsi="仿宋_GB2312" w:cs="仿宋_GB2312" w:eastAsia="仿宋_GB2312"/>
                <w:sz w:val="20"/>
              </w:rPr>
              <w:t>2.授课专家资质达标。</w:t>
            </w:r>
          </w:p>
          <w:p>
            <w:pPr>
              <w:pStyle w:val="null3"/>
              <w:ind w:firstLine="400"/>
              <w:jc w:val="left"/>
            </w:pPr>
            <w:r>
              <w:rPr>
                <w:rFonts w:ascii="仿宋_GB2312" w:hAnsi="仿宋_GB2312" w:cs="仿宋_GB2312" w:eastAsia="仿宋_GB2312"/>
                <w:sz w:val="20"/>
              </w:rPr>
              <w:t>3.培训过程扎实、学时达标、学有所获、学以致用为核心，做到资料齐全、记录完整、成效可见、考核到位。</w:t>
            </w:r>
          </w:p>
          <w:p>
            <w:pPr>
              <w:pStyle w:val="null3"/>
              <w:ind w:firstLine="400"/>
              <w:jc w:val="left"/>
            </w:pPr>
            <w:r>
              <w:rPr>
                <w:rFonts w:ascii="仿宋_GB2312" w:hAnsi="仿宋_GB2312" w:cs="仿宋_GB2312" w:eastAsia="仿宋_GB2312"/>
                <w:sz w:val="20"/>
              </w:rPr>
              <w:t>4.参训教师教学成绩、教研能力</w:t>
            </w:r>
          </w:p>
          <w:p>
            <w:pPr>
              <w:pStyle w:val="null3"/>
            </w:pPr>
            <w:r>
              <w:rPr>
                <w:rFonts w:ascii="仿宋_GB2312" w:hAnsi="仿宋_GB2312" w:cs="仿宋_GB2312" w:eastAsia="仿宋_GB2312"/>
                <w:sz w:val="21"/>
              </w:rPr>
              <w:t>★</w:t>
            </w:r>
            <w:r>
              <w:rPr>
                <w:rFonts w:ascii="仿宋_GB2312" w:hAnsi="仿宋_GB2312" w:cs="仿宋_GB2312" w:eastAsia="仿宋_GB2312"/>
                <w:sz w:val="20"/>
              </w:rPr>
              <w:t>（三）服务期限：</w:t>
            </w:r>
            <w:r>
              <w:rPr>
                <w:rFonts w:ascii="仿宋_GB2312" w:hAnsi="仿宋_GB2312" w:cs="仿宋_GB2312" w:eastAsia="仿宋_GB2312"/>
                <w:sz w:val="21"/>
              </w:rPr>
              <w:t>合同签订后至本项目结束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合同签订后至本项目结束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采购标的对应的中小企业划分标准所属行业为其他未列明行业。从业人员300人以下的为中小微型企业。其中，从业人员100人及以上的为中型企业;从业人员10人及以上的为小型企业;从业人员10人以下的为微型企业。 二、需要落实的政府采购政策：1、《国务院办公厅关于建立政府强制采购节能产品制度的通知》（国办发〔2007〕51号）； 2、《财政部 司法部关于政府采购支持监狱企业发展有关问题的通知》（财库〔2014〕68号）； 3、《三部门联合发布关于促进残疾人就业政府采购政策的通知》（财库〔2017〕141号）； 4、《财政部 发展改革委 生态环境部 市场监管总局关于调整优化节能产品、环境标志产品政府采购执行机制的通知》（财库〔2019〕9号）；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9、《关于扩大政府采购支持绿色建材促进建筑品质提升政策实施范围的通知》（财库〔2022〕35号） 10、《国务院办公厅关于在政府采购中实施本国产品标准及相关政策的通知》（国办发〔2025〕34号）。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响应文件格式.docx 标的清单 报价表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响应文件格式.docx 标的清单 报价表 响应函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需提供合法有效的营业执照，其他组织需提供合法有效的营业执照等证明资料，自然人须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2024年或2025年经审计的财务报告（事业法人可提供部门决算报告）或基本开户银行出具的资信证明或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履行合同所必需的设备和专业技术能力书面声明函：供应商应提供履行合同所必需的设备和专业技术能力书面声明函，供应商需在项目电子化交易系统中按要求上传相应证明文件并进行电子签章。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信用状况：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本项目是否为专门面向中小企业的采购</w:t>
            </w:r>
          </w:p>
        </w:tc>
        <w:tc>
          <w:tcPr>
            <w:tcW w:type="dxa" w:w="3322"/>
          </w:tcPr>
          <w:p>
            <w:pPr>
              <w:pStyle w:val="null3"/>
            </w:pPr>
            <w:r>
              <w:rPr>
                <w:rFonts w:ascii="仿宋_GB2312" w:hAnsi="仿宋_GB2312" w:cs="仿宋_GB2312" w:eastAsia="仿宋_GB2312"/>
              </w:rPr>
              <w:t>本项目为专门面向中小企业的采购（监狱企业、残疾人福利性单位视同小微企业），需提供《中小企业声明函》或《监狱企业的证明文件》或《残疾人福利性单位声明函》。</w:t>
            </w:r>
          </w:p>
        </w:tc>
        <w:tc>
          <w:tcPr>
            <w:tcW w:type="dxa" w:w="1661"/>
          </w:tcPr>
          <w:p>
            <w:pPr>
              <w:pStyle w:val="null3"/>
            </w:pPr>
            <w:r>
              <w:rPr>
                <w:rFonts w:ascii="仿宋_GB2312" w:hAnsi="仿宋_GB2312" w:cs="仿宋_GB2312" w:eastAsia="仿宋_GB2312"/>
              </w:rPr>
              <w:t>响应文件格式.docx 标的清单 报价表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依据《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响应文件格式.docx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响应文件格式.docx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授权委托书（法人参与投标的，需提供法定代表人身份证明书）合格有效</w:t>
            </w:r>
          </w:p>
        </w:tc>
        <w:tc>
          <w:tcPr>
            <w:tcW w:type="dxa" w:w="1661"/>
          </w:tcPr>
          <w:p>
            <w:pPr>
              <w:pStyle w:val="null3"/>
            </w:pPr>
            <w:r>
              <w:rPr>
                <w:rFonts w:ascii="仿宋_GB2312" w:hAnsi="仿宋_GB2312" w:cs="仿宋_GB2312" w:eastAsia="仿宋_GB2312"/>
              </w:rPr>
              <w:t>响应文件格式.docx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报价唯一且没有高于采购预算。</w:t>
            </w:r>
          </w:p>
        </w:tc>
        <w:tc>
          <w:tcPr>
            <w:tcW w:type="dxa" w:w="1661"/>
          </w:tcPr>
          <w:p>
            <w:pPr>
              <w:pStyle w:val="null3"/>
            </w:pPr>
            <w:r>
              <w:rPr>
                <w:rFonts w:ascii="仿宋_GB2312" w:hAnsi="仿宋_GB2312" w:cs="仿宋_GB2312" w:eastAsia="仿宋_GB2312"/>
              </w:rPr>
              <w:t>响应文件格式.docx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响应文件格式.docx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技术及商务条款响应符合磋商文件要求</w:t>
            </w:r>
          </w:p>
        </w:tc>
        <w:tc>
          <w:tcPr>
            <w:tcW w:type="dxa" w:w="1661"/>
          </w:tcPr>
          <w:p>
            <w:pPr>
              <w:pStyle w:val="null3"/>
            </w:pPr>
            <w:r>
              <w:rPr>
                <w:rFonts w:ascii="仿宋_GB2312" w:hAnsi="仿宋_GB2312" w:cs="仿宋_GB2312" w:eastAsia="仿宋_GB2312"/>
              </w:rPr>
              <w:t>响应文件格式.docx 标的清单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根据供应商提供的服务方案，主要从以下方面进行评分： ①总体框架及计划； ②技术思路及方法； ③关键点、重难点分析； ④服务理念及特色。 评审标准： 1、完整性：内容全面，对评审内容中的各项要求有详细描述； 2、可行性：切合本项目实际情况，提出步骤清晰的方案； 3、针对性：紧扣项目实际情况需求，内容切实合理； 4、专业性：逻辑性强，具有技术含量、技术水准。 赋分标准： ①总体框架及计划：每完全满足一个评审标准得2分，基本满足一个评审标准得1分，满分8分； ②技术思路及方法：每完全满足一个评审标准得2分，基本满足一个评审标准得1分，满分8分； ③关键点、重难点分析：每完全满足一个评审标准得2分，基本满足一个评审标准得1分，满分8分； ④服务理念及特色：每完全满足一个评审标准得2分，基本满足一个评审标准得1分，满分8分。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需求理解与定位</w:t>
            </w:r>
          </w:p>
        </w:tc>
        <w:tc>
          <w:tcPr>
            <w:tcW w:type="dxa" w:w="2492"/>
          </w:tcPr>
          <w:p>
            <w:pPr>
              <w:pStyle w:val="null3"/>
            </w:pPr>
            <w:r>
              <w:rPr>
                <w:rFonts w:ascii="仿宋_GB2312" w:hAnsi="仿宋_GB2312" w:cs="仿宋_GB2312" w:eastAsia="仿宋_GB2312"/>
              </w:rPr>
              <w:t>（1）需求理解（9分） 一、评审内容： ①项目的实施背景理解； ②工作目的目标理解； ③相关政策及发展动向。 二、评审标准： 1、完整性：内容全面，对评审内容中的各项要求有详细描述； 2、可行性：切合本项目实际情况，提出步骤清晰的方案； 3、针对性：紧扣项目实际情况需求，内容切实合理。 三、赋分标准： ①项目的实施背景理解：每完全满足一个评审标准得1分，满分3分； ②工作目的目标理解：每完全满足一个评审标准得1分，满分3分； ③相关政策及发展动向：每完全满足一个评审标准得1分，满分3分。 （2）根据理解定位，做出的服务标准及服务优势说明，每完全满足一项得1分，未提供不得分。（3分） 评审标准： 1、完整性：内容全面，对评审内容中的各项要求有详细描述； 2、可行性：切合本项目实际情况，提出步骤清晰的方案； 3、针对性：紧扣项目实际情况需求，内容切实合理。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质量保证（9分） 一、评审内容： ①具有针对本项目质量管理制度； ②质量保障措施； ③内部管控流程。 二、评审标准： 1、完整性：内容全面，对评审内容中的各项要求有详细描述； 2、可行性：切合本标段实际情况，提出步骤清晰的方案； 3、针对性：紧扣项目实际情况需求，内容切实合理。 三、赋分标准： ①具有针对本项目质量管理制度：每完全满足一个评审标准得1分，满分3分； ②质量保障措施：每完全满足一个评审标准得1分，满分3分； ③内部管控流程：每完全满足一个评审标准得1分，满分3分。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进度控制</w:t>
            </w:r>
          </w:p>
        </w:tc>
        <w:tc>
          <w:tcPr>
            <w:tcW w:type="dxa" w:w="2492"/>
          </w:tcPr>
          <w:p>
            <w:pPr>
              <w:pStyle w:val="null3"/>
            </w:pPr>
            <w:r>
              <w:rPr>
                <w:rFonts w:ascii="仿宋_GB2312" w:hAnsi="仿宋_GB2312" w:cs="仿宋_GB2312" w:eastAsia="仿宋_GB2312"/>
              </w:rPr>
              <w:t>一、评审内容： ①进度的保障措施； ②突发状况应急预案。 二、评审标准： 1、完整性：内容全面，对评审内容中的各项要求有详细描述； 2、可行性：切合本项目实际情况，提出步骤清晰的方案； 3、针对性：紧扣项目实际情况需求，内容切实合理。 三、赋分标准： ①进度的保障措施：每完全满足一个评审标准得1分，满分3分； ②突发状况应急预案：每完全满足一个评审标准得1分，满分3分。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保密廉洁</w:t>
            </w:r>
          </w:p>
        </w:tc>
        <w:tc>
          <w:tcPr>
            <w:tcW w:type="dxa" w:w="2492"/>
          </w:tcPr>
          <w:p>
            <w:pPr>
              <w:pStyle w:val="null3"/>
            </w:pPr>
            <w:r>
              <w:rPr>
                <w:rFonts w:ascii="仿宋_GB2312" w:hAnsi="仿宋_GB2312" w:cs="仿宋_GB2312" w:eastAsia="仿宋_GB2312"/>
              </w:rPr>
              <w:t>一、评审内容： ①保密制度及措施； ②廉洁制度及措施。 二、评审标准： 1、完整性：内容全面，对评审内容中的各项要求有详细描述； 2、可行性：切合本项目实际情况，提出步骤清晰的方案； 3、针对性：紧扣项目实际情况需求，内容切实合理。 三、赋分标准： ①保密制度及措施：每完全满足一个评审标准得1分，满分3分； ②廉洁制度及措施：每完全满足一个评审标准得1分，满分3分。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一、评审内容： 组织架构及职责划分。 二、赋分标准： 1、组织架构完整，岗位设置合理、明确，提供拟派团队的组织架构图、岗位分工说明及具体的项目组成员名单的，得9分； 2、组织架构较为完整，岗位设置较为合理，提供拟派团队的组织架构图、岗位分工说明及具体的项目组成员名单的，7分； 3、组织架构、岗位设置能够基本满足本项目采购要求，提供拟派团队的组织架构图或岗位分工说明或具体的项目组成员名单的得5分； 4、组织架构、岗位设置不够合理的，得3分； 5、无组织架构得0分。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售后服务与支持</w:t>
            </w:r>
          </w:p>
        </w:tc>
        <w:tc>
          <w:tcPr>
            <w:tcW w:type="dxa" w:w="2492"/>
          </w:tcPr>
          <w:p>
            <w:pPr>
              <w:pStyle w:val="null3"/>
            </w:pPr>
            <w:r>
              <w:rPr>
                <w:rFonts w:ascii="仿宋_GB2312" w:hAnsi="仿宋_GB2312" w:cs="仿宋_GB2312" w:eastAsia="仿宋_GB2312"/>
              </w:rPr>
              <w:t>1、供应商承诺在培训结束后提供的售后服务内容：如培训资料的整理与提供、培训效果的跟踪与反馈、为教师提供后续的咨询与指导服务等承诺，上述内容齐全得3分，内容基本齐全得2分，未提供相应承诺不得分； 2、供应商需提供针对本项目建立了完善的客户投诉处理机制，能够及时有效地解决培训过程中出现的问题和教师的反馈意见。根据售后服务与支持的完善程度和可靠性进行评分，方案内容完整、合理，可行性强的，得3分；方案存在缺陷但基本完整，为通用性方案得2分；无响应，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 1月 1 日至今类似项目合同（以合同签订日期为准），每提供1份得2分，最高10分。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最终报价）×10（注：满足磋商文件要求且最后报价最低的供应商的价格为磋商基准价，其价格分为满分。）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