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版本号：DQZ2026-GC-03420260724001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2026年度蒲城县罕井镇中山村苹果防雹网项目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DQZ2026-GC-034</w:t>
      </w:r>
      <w:r>
        <w:br/>
      </w:r>
      <w:r>
        <w:br/>
      </w:r>
      <w:r>
        <w:br/>
      </w:r>
    </w:p>
    <w:p>
      <w:pPr>
        <w:pStyle w:val="null3"/>
        <w:jc w:val="center"/>
        <w:outlineLvl w:val="2"/>
      </w:pPr>
      <w:r>
        <w:rPr>
          <w:rFonts w:ascii="仿宋_GB2312" w:hAnsi="仿宋_GB2312" w:cs="仿宋_GB2312" w:eastAsia="仿宋_GB2312"/>
          <w:sz w:val="28"/>
          <w:b/>
        </w:rPr>
        <w:t>蒲城县果业发展中心</w:t>
      </w:r>
    </w:p>
    <w:p>
      <w:pPr>
        <w:pStyle w:val="null3"/>
        <w:jc w:val="center"/>
        <w:outlineLvl w:val="2"/>
      </w:pPr>
      <w:r>
        <w:rPr>
          <w:rFonts w:ascii="仿宋_GB2312" w:hAnsi="仿宋_GB2312" w:cs="仿宋_GB2312" w:eastAsia="仿宋_GB2312"/>
          <w:sz w:val="28"/>
          <w:b/>
        </w:rPr>
        <w:t>陕西鼎启正建设项目管理有限公司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陕西鼎启正建设项目管理有限公司</w:t>
      </w:r>
      <w:r>
        <w:rPr>
          <w:rFonts w:ascii="仿宋_GB2312" w:hAnsi="仿宋_GB2312" w:cs="仿宋_GB2312" w:eastAsia="仿宋_GB2312"/>
        </w:rPr>
        <w:t>（以下简称“代理机构”）受</w:t>
      </w:r>
      <w:r>
        <w:rPr>
          <w:rFonts w:ascii="仿宋_GB2312" w:hAnsi="仿宋_GB2312" w:cs="仿宋_GB2312" w:eastAsia="仿宋_GB2312"/>
        </w:rPr>
        <w:t>蒲城县果业发展中心</w:t>
      </w:r>
      <w:r>
        <w:rPr>
          <w:rFonts w:ascii="仿宋_GB2312" w:hAnsi="仿宋_GB2312" w:cs="仿宋_GB2312" w:eastAsia="仿宋_GB2312"/>
        </w:rPr>
        <w:t>委托，拟对</w:t>
      </w:r>
      <w:r>
        <w:rPr>
          <w:rFonts w:ascii="仿宋_GB2312" w:hAnsi="仿宋_GB2312" w:cs="仿宋_GB2312" w:eastAsia="仿宋_GB2312"/>
        </w:rPr>
        <w:t>2026年度蒲城县罕井镇中山村苹果防雹网项目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DQZ2026-GC-034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2026年度蒲城县罕井镇中山村苹果防雹网项目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主要包括钢结构主体，防雹网搭建及相关附属 工程，覆盖面积约131.79亩（具体详见工程量清单）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采购包1（2026年度蒲城县罕井镇中山村苹果防雹网项目）：属于专门面向中小企业采购。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1、授权委托书或法人身份证明：法定代表人直接参加磋商的提供法定代表人证明及其身份证；授权代表参与磋商的提供法定代表人授权书（附法定代表人及授权代表身份证）；非法人单位参照执行；</w:t>
      </w:r>
    </w:p>
    <w:p>
      <w:pPr>
        <w:pStyle w:val="null3"/>
      </w:pPr>
      <w:r>
        <w:rPr>
          <w:rFonts w:ascii="仿宋_GB2312" w:hAnsi="仿宋_GB2312" w:cs="仿宋_GB2312" w:eastAsia="仿宋_GB2312"/>
        </w:rPr>
        <w:t>2、资质证书：具备建设行政主管部门核发的建筑或市政公用工程施工总承包三级（含三级）以上资质，具备有效的安全生产许可证；</w:t>
      </w:r>
    </w:p>
    <w:p>
      <w:pPr>
        <w:pStyle w:val="null3"/>
      </w:pPr>
      <w:r>
        <w:rPr>
          <w:rFonts w:ascii="仿宋_GB2312" w:hAnsi="仿宋_GB2312" w:cs="仿宋_GB2312" w:eastAsia="仿宋_GB2312"/>
        </w:rPr>
        <w:t>3、项目经理：拟派往本项目的建造师必须为本企业注册的建造师，具备建筑或市政公用工程专业二级及以上注册建造师执业资格和有效的安全生产考核合格证书(B 证)，且未担任其它在建工程的建造师（提供无在建工程声明）</w:t>
      </w:r>
    </w:p>
    <w:p>
      <w:pPr>
        <w:pStyle w:val="null3"/>
      </w:pPr>
      <w:r>
        <w:rPr>
          <w:rFonts w:ascii="仿宋_GB2312" w:hAnsi="仿宋_GB2312" w:cs="仿宋_GB2312" w:eastAsia="仿宋_GB2312"/>
        </w:rPr>
        <w:t>4、信誉要求：供应商提供在磋商截止日前在信用中国网（www.creditchina.gov.cn）未被列入失信被执行人、重大税收违法失信主体和在中国政府采购网（www.ccgp.gov.cn）未被列入政府采购严重违法失信行为记录名单（处罚期限届满的除外，如相关失信记录已失效，供应商需提供相关证明资料）；不得列入国家企业信用信息公示系统中严重违法失信企业名单；须提供相应查询结果的网站截图（查询日期为从竞争性磋商文件获取之日起至磋商截止日前但最终以磋商截止日当天代理公司查询结果为准）；资质基本信息应在陕西建设网，陕西省建筑市场监管与诚信信息平台，企业库中可查询；</w:t>
      </w:r>
    </w:p>
    <w:p>
      <w:pPr>
        <w:pStyle w:val="null3"/>
      </w:pPr>
      <w:r>
        <w:rPr>
          <w:rFonts w:ascii="仿宋_GB2312" w:hAnsi="仿宋_GB2312" w:cs="仿宋_GB2312" w:eastAsia="仿宋_GB2312"/>
        </w:rPr>
        <w:t>5、非联合体磋商声明：本项目不接受联合体磋商，须提供非联合体磋商声明。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蒲城县果业发展中心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蒲城县延安路东段9号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黄晓婧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18329321950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陕西鼎启正建设项目管理有限公司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陕西省西安市未央区陕西省西安市经济技术开发区凤城四路103号世融嘉轩21号楼世融国际1405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彭统贤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17392217611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开户名称：陕西鼎启正建设项目管理有限公司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银行账号：707011580000215539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代理服务费收费标准：代理服务费取费依据：参照《招标代理服务收费管理暂行办法》（国家发改委计价格〔2002〕1980 号）文件规定收取。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蒲城县果业发展中心</w:t>
      </w:r>
      <w:r>
        <w:rPr>
          <w:rFonts w:ascii="仿宋_GB2312" w:hAnsi="仿宋_GB2312" w:cs="仿宋_GB2312" w:eastAsia="仿宋_GB2312"/>
        </w:rPr>
        <w:t>和</w:t>
      </w:r>
      <w:r>
        <w:rPr>
          <w:rFonts w:ascii="仿宋_GB2312" w:hAnsi="仿宋_GB2312" w:cs="仿宋_GB2312" w:eastAsia="仿宋_GB2312"/>
        </w:rPr>
        <w:t>陕西鼎启正建设项目管理有限公司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蒲城县果业发展中心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陕西鼎启正建设项目管理有限公司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蒲城县果业发展中心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陕西鼎启正建设项目管理有限公司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符合采购文件要求及相关国家标准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联系人：曾工</w:t>
      </w:r>
    </w:p>
    <w:p>
      <w:pPr>
        <w:pStyle w:val="null3"/>
      </w:pPr>
      <w:r>
        <w:rPr>
          <w:rFonts w:ascii="仿宋_GB2312" w:hAnsi="仿宋_GB2312" w:cs="仿宋_GB2312" w:eastAsia="仿宋_GB2312"/>
        </w:rPr>
        <w:t>联系电话：17392217611</w:t>
      </w:r>
    </w:p>
    <w:p>
      <w:pPr>
        <w:pStyle w:val="null3"/>
      </w:pPr>
      <w:r>
        <w:rPr>
          <w:rFonts w:ascii="仿宋_GB2312" w:hAnsi="仿宋_GB2312" w:cs="仿宋_GB2312" w:eastAsia="仿宋_GB2312"/>
        </w:rPr>
        <w:t>地址：陕西省渭南市蒲城县东环路壳牌加油站对面鼎启正项目部三楼</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795,945.76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2026年度蒲城县罕井镇中山村苹果防雹网项目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标的名称：2026年度蒲城县罕井镇中山村苹果防雹网项目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（1）工程内容：本项目工程量清单及图纸的全部内容。</w:t>
            </w:r>
          </w:p>
          <w:p>
            <w:pPr>
              <w:pStyle w:val="null3"/>
            </w:pPr>
            <w:r>
              <w:rPr>
                <w:rFonts w:ascii="仿宋_GB2312" w:hAnsi="仿宋_GB2312" w:cs="仿宋_GB2312" w:eastAsia="仿宋_GB2312"/>
                <w:sz w:val="21"/>
              </w:rPr>
              <w:t>（2）工期：自合同签订之日起45日历天内完成。</w:t>
            </w:r>
          </w:p>
          <w:p>
            <w:pPr>
              <w:pStyle w:val="null3"/>
            </w:pPr>
            <w:r>
              <w:rPr>
                <w:rFonts w:ascii="仿宋_GB2312" w:hAnsi="仿宋_GB2312" w:cs="仿宋_GB2312" w:eastAsia="仿宋_GB2312"/>
                <w:sz w:val="21"/>
              </w:rPr>
              <w:t>（3）工程地点：蒲城县罕井镇中山村。</w:t>
            </w:r>
          </w:p>
          <w:p>
            <w:pPr>
              <w:pStyle w:val="null3"/>
            </w:pPr>
            <w:r>
              <w:rPr>
                <w:rFonts w:ascii="仿宋_GB2312" w:hAnsi="仿宋_GB2312" w:cs="仿宋_GB2312" w:eastAsia="仿宋_GB2312"/>
                <w:sz w:val="21"/>
              </w:rPr>
              <w:t>（4）质保期：按照《建设工程质量管理条例》及有关规定执行，质量保修期自工程竣工验收合格之日起计算。</w:t>
            </w:r>
          </w:p>
          <w:p>
            <w:pPr>
              <w:pStyle w:val="null3"/>
              <w:jc w:val="both"/>
            </w:pPr>
            <w:r>
              <w:rPr>
                <w:rFonts w:ascii="仿宋_GB2312" w:hAnsi="仿宋_GB2312" w:cs="仿宋_GB2312" w:eastAsia="仿宋_GB2312"/>
                <w:sz w:val="21"/>
              </w:rPr>
              <w:t>（5）质量要求：符合国家现行有关施工质量验收规范要求，满足采购人需求，达到国家验收合格标准。</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符合国家现行有关施工质量验收规范要求，满足采购人需求，达到国家验收合格标准。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符合国家标准规范要求。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详见拟签订合同文本内容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供应商是法人或其他组织的应提供营业执照等证明文件，供应商是自然人的应提供有效的自然人身份证明；2.①可提供2025年度经审计的财务报告（包含审计报告和审计报告中所涉及的财务报表和报表附注），②可提供2025年度供应商完整的全套财务报表（应当包括资产负债表、利润表、现金流量表、所有者权益变动表、附注），③可提供截至响应文件提交截止日一年内银行出具的资信证明，④供应商注册时间截响应文件提交截止日不足一年的，也可提供在工商管理部门备案的公司章程；）以上4种提供任意一种；3.提供具有履行合同所必需的设备和专业技术能力的承诺 ；4.提供磋商截止时间前6个月内任意一个月的纳税证明或完税证明（以税款所属期为准，依法免税的应提供相关证明材料）；5.提供磋商截止时间前6个月内任意一个月的社保缴费凭据或社保机构开具的社会保险参保缴费情况证明（依法不需要缴纳社会保障资金的应提供相关证明材料）；6.参加政府采购活动前三年内，在经营活动中没有重大违法记录的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至响应文件提交截止日一年内银行出具的资信证明，④供应商注册时间截响应文件提交截止日不足一年的，也可提供在工商管理部门备案的公司章程；｝以上4种提供任意一种；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法定代表人直接参加磋商的提供法定代表人证明及其身份证；授权代表参与磋商的提供法定代表人授权书（附法定代表人及授权代表身份证）；非法人单位参照执行；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具备建设行政主管部门核发的建筑或市政公用工程施工总承包三级（含三级）以上资质，具备有效的安全生产许可证；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拟派往本项目的建造师必须为本企业注册的建造师，具备建筑或市政公用工程专业二级及以上注册建造师执业资格和有效的安全生产考核合格证书(B 证)，且未担任其它在建工程的建造师（提供无在建工程声明）</w:t>
            </w:r>
          </w:p>
        </w:tc>
        <w:tc>
          <w:tcPr>
            <w:tcW w:type="dxa" w:w="1661"/>
          </w:tcPr>
          <w:p>
            <w:pPr>
              <w:pStyle w:val="null3"/>
            </w:pPr>
            <w:r>
              <w:rPr>
                <w:rFonts w:ascii="仿宋_GB2312" w:hAnsi="仿宋_GB2312" w:cs="仿宋_GB2312" w:eastAsia="仿宋_GB2312"/>
              </w:rPr>
              <w:t>供应商应提交的相关资格证明材料.docx 项目管理机构组成表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提供在磋商截止日前在信用中国网（www.creditchina.gov.cn）未被列入失信被执行人、重大税收违法失信主体和在中国政府采购网（www.ccgp.gov.cn）未被列入政府采购严重违法失信行为记录名单（处罚期限届满的除外，如相关失信记录已失效，供应商需提供相关证明资料）；不得列入国家企业信用信息公示系统中严重违法失信企业名单；须提供相应查询结果的网站截图（查询日期为从竞争性磋商文件获取之日起至磋商截止日前但最终以磋商截止日当天代理公司查询结果为准）；资质基本信息应在陕西建设网，陕西省建筑市场监管与诚信信息平台，企业库中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本项目不接受联合体磋商，须提供非联合体磋商声明。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供应商名称应与营业执照、资质证书、安全生产许可证等证件相一致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响应文件的签字、盖章是否有效，字迹是否清晰可辨，编写格式符合采购文件要求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残疾人福利性单位声明函 报价函 技术响应文件.docx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满足磋商文件实质性技术及商务要求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技术响应文件.docx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磋商有效期是否满足要求</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残疾人福利性单位声明函 报价函 技术响应文件.docx 标的清单 供应商类似项目业绩一览表 响应函 主要人员简历表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主要施工方案与技术措施</w:t>
            </w:r>
          </w:p>
        </w:tc>
        <w:tc>
          <w:tcPr>
            <w:tcW w:type="dxa" w:w="2492"/>
          </w:tcPr>
          <w:p>
            <w:pPr>
              <w:pStyle w:val="null3"/>
            </w:pPr>
            <w:r>
              <w:rPr>
                <w:rFonts w:ascii="仿宋_GB2312" w:hAnsi="仿宋_GB2312" w:cs="仿宋_GB2312" w:eastAsia="仿宋_GB2312"/>
              </w:rPr>
              <w:t>根据针对本项目的特点，制定施工方案（项目整体设想及总体规划、项目重点难点、施工实施的流程）： 总体施工方案非常合理、条理清晰、计划安排合理有效：[6-10] 分；总体施工方案合理，可行性较高：[3-6] 分；总体施工方案合理性差，可行性不高：[1-3]分；未提供相关内容不得分。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确保工程质量的技术措施</w:t>
            </w:r>
          </w:p>
        </w:tc>
        <w:tc>
          <w:tcPr>
            <w:tcW w:type="dxa" w:w="2492"/>
          </w:tcPr>
          <w:p>
            <w:pPr>
              <w:pStyle w:val="null3"/>
            </w:pPr>
            <w:r>
              <w:rPr>
                <w:rFonts w:ascii="仿宋_GB2312" w:hAnsi="仿宋_GB2312" w:cs="仿宋_GB2312" w:eastAsia="仿宋_GB2312"/>
              </w:rPr>
              <w:t>质量目标明确，管理体系健全，预控和动态控制措施完整，实施工艺、手段先进、可靠、科学，管理体系和组织措施功能完善、管理幅度适宜，得[4-6]分； 目标基本明确，控制措施基本全面得[2-4]分； 目标不明确，控制措施不全面得[1-2]分；未提供相关内容不得分。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安全生产目标明确，预防和动态控制措施及制度完整、到位，管理体系和组织措施功能完善，得[4-6]分；目标基本明确，控制措施基本全面得[2-4]分；目标不明确，控制措施不全面得[1-2]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工期满足招标文件要求且工期控制合理，施工横道图或施工网络图工序搭配逻辑关系和关键线路清晰、合理、并能指导施工得[4-6】分；总工期满足招标文件要求，工期控制基本合理工序搭配逻辑关系和关键线路较清晰，得[2-4]分。总工期满足招标文件要求，逻辑关系混乱、不合理得[1-2]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文明施工保证体系健全，预防和动态控制措施及制度完整、到位，管理体系和组织措施功能完善，得[4-6]分；安全生产目标基本明确，控制措施基本全面得[2-4]分。安全生产目标不明确，控制措施不全面得[1-2]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项目管理机构配备及职责</w:t>
            </w:r>
          </w:p>
        </w:tc>
        <w:tc>
          <w:tcPr>
            <w:tcW w:type="dxa" w:w="2492"/>
          </w:tcPr>
          <w:p>
            <w:pPr>
              <w:pStyle w:val="null3"/>
            </w:pPr>
            <w:r>
              <w:rPr>
                <w:rFonts w:ascii="仿宋_GB2312" w:hAnsi="仿宋_GB2312" w:cs="仿宋_GB2312" w:eastAsia="仿宋_GB2312"/>
              </w:rPr>
              <w:t>机构人员健全，资格适合，安排合理完整，职责明确，完全满足施工要求得[4-6]分，机构人员健全，资格基本满足施工要求得[2-4]分，机构人员不健全但满足施工要求得[1-2]分。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拟投入的机具、设备和材料进行描述。机械配备与材料投入完全适配施工要求，没有不需要机械和材料得[4-6]分；机械与材料投入基本满足施工要求，有明显不适用机械和材料。酌情得[2-4]分，表述不清得[1-2]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成品保护、工程保修管理措施</w:t>
            </w:r>
          </w:p>
        </w:tc>
        <w:tc>
          <w:tcPr>
            <w:tcW w:type="dxa" w:w="2492"/>
          </w:tcPr>
          <w:p>
            <w:pPr>
              <w:pStyle w:val="null3"/>
            </w:pPr>
            <w:r>
              <w:rPr>
                <w:rFonts w:ascii="仿宋_GB2312" w:hAnsi="仿宋_GB2312" w:cs="仿宋_GB2312" w:eastAsia="仿宋_GB2312"/>
              </w:rPr>
              <w:t>成品保护、工程保修管理体系健全，全过程管控、责任划分、工序保护、保修响应及回访处置措施、管理制度完整到位，组织架构与管控流程完善，得 [4-6] 分；成品保护及保修工作目标基本明确，管控措施基本全面得 [2-4] 分；成品保护、保修目标不清晰，管控措施缺失、内容不完整得 [1-2] 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新技术、新产品、新工艺、新材料应用策划方案完善，应用目标、实施安排、保障措施、效益分析完整到位，组织落实措施健全，得 [4-6] 分；四新技术应用目标基本明确，实施措施基本全面得 [2-4] 分；四新技术应用目标不明确，实施措施不完善、内容缺失得 [1-2] 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售后服务方案（有详细的针对本项目工程的售后服务承诺及说明，工程竣工验收合格后使用过程中因质量问题而产生的补救措施、应急预案 、响应时间及措施。）售后服务方案非常合理、条理清晰、计划安排合理有效：[4-6] 分；售后服务方案合理，可行性 较高：[2-4] 分；售后服务方案合理性差，可行性不高：[1-2]分；未提供相关内容不得分。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提供2023年7月至今类似项目业绩（以合同签订时间或中标通知书为准），每一个类似项目业绩计2分，满分6分；未提供不得分。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满足磋商文件要求且磋商价格最低的磋商报价为评审基准价，其价格分为满分。其他供应商的价格分统一按照下列公式计算：磋商报价得分=（评审基准价/磋商评审价）×价格权值%×100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详见附件：技术响应文件.docx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