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版本号：SXJHZB-2026-0425-002.1B120260509001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2026年镇巴县兴隆镇水田坝社区经济合作社生猪养殖场建设项目(二次)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SXJHZB-2026-0425-002.1B1</w:t>
      </w:r>
      <w:r>
        <w:br/>
      </w:r>
      <w:r>
        <w:br/>
      </w:r>
      <w:r>
        <w:br/>
      </w:r>
    </w:p>
    <w:p>
      <w:pPr>
        <w:pStyle w:val="null3"/>
        <w:jc w:val="center"/>
        <w:outlineLvl w:val="2"/>
      </w:pPr>
      <w:r>
        <w:rPr>
          <w:rFonts w:ascii="仿宋_GB2312" w:hAnsi="仿宋_GB2312" w:cs="仿宋_GB2312" w:eastAsia="仿宋_GB2312"/>
          <w:sz w:val="28"/>
          <w:b/>
        </w:rPr>
        <w:t>镇巴县兴隆镇人民政府</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镇巴县兴隆镇人民政府</w:t>
      </w:r>
      <w:r>
        <w:rPr>
          <w:rFonts w:ascii="仿宋_GB2312" w:hAnsi="仿宋_GB2312" w:cs="仿宋_GB2312" w:eastAsia="仿宋_GB2312"/>
        </w:rPr>
        <w:t>委托，拟对</w:t>
      </w:r>
      <w:r>
        <w:rPr>
          <w:rFonts w:ascii="仿宋_GB2312" w:hAnsi="仿宋_GB2312" w:cs="仿宋_GB2312" w:eastAsia="仿宋_GB2312"/>
        </w:rPr>
        <w:t>2026年镇巴县兴隆镇水田坝社区经济合作社生猪养殖场建设项目(二次)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SXJHZB-2026-0425-002.1B1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2026年镇巴县兴隆镇水田坝社区经济合作社生猪养殖场建设项目(二次)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本工程位于镇巴县兴隆镇，工程主要内容为： 1、新建两座一层圈舍,其中一号圈舍建筑面积443.42平方米,二号圈舍建筑面积135.27平方米； 2、新建一层饲料仓库及加工区,建筑面积96平方米； 3、新建一层防疫室及消毒室,建筑面积21.2平方米； 4、新建车辆消毒池1个,结构蓄水池2座,每座各100立方米,猪舍自动饮水系统100米； 5、新建泡粪槽100米,新建漏粪板100米,育肥舍隔断200米,食槽100米,粪污处理三级沉淀池150立方米,砖混彩钢瓦顶干粪堆积池180立方米，漏粪斗及管道漏粪斗及管道70米,化尸窖石混20立方米,饮水管网DN32共计300米 ； 新建片石圈舍护坎150立方米,饲料晾晒场地硬化200平方米。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采购包1（2026年镇巴县兴隆镇水田坝社区经济合作社生猪养殖场建设项目）：属于专门面向中小企业采购。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及拟派项目负责人资格：供应商须具有建设行政主管部门颁发的建筑工程施工总承包三级及以上资质，具有有效的安全生产许可证；拟派项目经理须具有建筑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5、中小企业声明函：本项目专门面向中小企业采购，供应商应提供中小企业声明函，供应商需在项目电子化交易系统中按要求上传相应证明文件并进行电子签章；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单位，不得同时参加本项目磋商，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镇巴县兴隆镇人民政府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陕西省汉中市镇巴县兴隆镇水田坝社区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镇巴县兴隆镇人民政府经办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18829668868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黄朝炜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采购包1：1,314,734.79元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2、采购代理服务费的缴纳方式:在领取《成交通知书》前向采购代理机均一次性全额缴纳采购代理服务费。3、代理服务费的具体金额后续见本项目中标（成交）结果公告。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镇巴县兴隆镇人民政府</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镇巴县兴隆镇人民政府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镇巴县兴隆镇人民政府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1,314,734.79</w:t>
      </w:r>
    </w:p>
    <w:p>
      <w:pPr>
        <w:pStyle w:val="null3"/>
      </w:pPr>
      <w:r>
        <w:rPr>
          <w:rFonts w:ascii="仿宋_GB2312" w:hAnsi="仿宋_GB2312" w:cs="仿宋_GB2312" w:eastAsia="仿宋_GB2312"/>
        </w:rPr>
        <w:t>采购包最高限价（元）: 1,314,734.79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2026年镇巴县兴隆镇水田坝社区经济合作社生猪养殖场建设项目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1,314,734.79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标的名称：2026年镇巴县兴隆镇水田坝社区经济合作社生猪养殖场建设项目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pPr>
            <w:r>
              <w:rPr>
                <w:rFonts w:ascii="仿宋_GB2312" w:hAnsi="仿宋_GB2312" w:cs="仿宋_GB2312" w:eastAsia="仿宋_GB2312"/>
                <w:sz w:val="28"/>
                <w:b/>
              </w:rPr>
              <w:t>一、工程概况</w:t>
            </w:r>
          </w:p>
          <w:p>
            <w:pPr>
              <w:pStyle w:val="null3"/>
              <w:spacing w:after="195"/>
              <w:ind w:firstLine="560"/>
            </w:pPr>
            <w:r>
              <w:rPr>
                <w:rFonts w:ascii="仿宋_GB2312" w:hAnsi="仿宋_GB2312" w:cs="仿宋_GB2312" w:eastAsia="仿宋_GB2312"/>
                <w:sz w:val="28"/>
              </w:rPr>
              <w:t>2026年镇巴县兴隆镇水田坝社区经济合作生猪养殖项目，本工程位于镇巴县兴隆镇，工程主要内容为：</w:t>
            </w:r>
          </w:p>
          <w:p>
            <w:pPr>
              <w:pStyle w:val="null3"/>
              <w:spacing w:after="195"/>
              <w:ind w:firstLine="560"/>
            </w:pPr>
            <w:r>
              <w:rPr>
                <w:rFonts w:ascii="仿宋_GB2312" w:hAnsi="仿宋_GB2312" w:cs="仿宋_GB2312" w:eastAsia="仿宋_GB2312"/>
                <w:sz w:val="28"/>
              </w:rPr>
              <w:t>1、</w:t>
            </w:r>
            <w:r>
              <w:rPr>
                <w:rFonts w:ascii="仿宋_GB2312" w:hAnsi="仿宋_GB2312" w:cs="仿宋_GB2312" w:eastAsia="仿宋_GB2312"/>
                <w:sz w:val="28"/>
              </w:rPr>
              <w:t>新建两座一层圈舍</w:t>
            </w:r>
            <w:r>
              <w:rPr>
                <w:rFonts w:ascii="仿宋_GB2312" w:hAnsi="仿宋_GB2312" w:cs="仿宋_GB2312" w:eastAsia="仿宋_GB2312"/>
                <w:sz w:val="28"/>
              </w:rPr>
              <w:t>,其中一号圈舍建筑面积443.42平方米,二号圈舍建筑面积135.27平方米；</w:t>
            </w:r>
          </w:p>
          <w:p>
            <w:pPr>
              <w:pStyle w:val="null3"/>
              <w:spacing w:after="195"/>
              <w:ind w:firstLine="560"/>
            </w:pPr>
            <w:r>
              <w:rPr>
                <w:rFonts w:ascii="仿宋_GB2312" w:hAnsi="仿宋_GB2312" w:cs="仿宋_GB2312" w:eastAsia="仿宋_GB2312"/>
                <w:sz w:val="28"/>
              </w:rPr>
              <w:t>2、</w:t>
            </w:r>
            <w:r>
              <w:rPr>
                <w:rFonts w:ascii="仿宋_GB2312" w:hAnsi="仿宋_GB2312" w:cs="仿宋_GB2312" w:eastAsia="仿宋_GB2312"/>
                <w:sz w:val="28"/>
              </w:rPr>
              <w:t>新建一层饲料仓库及加工区</w:t>
            </w:r>
            <w:r>
              <w:rPr>
                <w:rFonts w:ascii="仿宋_GB2312" w:hAnsi="仿宋_GB2312" w:cs="仿宋_GB2312" w:eastAsia="仿宋_GB2312"/>
                <w:sz w:val="28"/>
              </w:rPr>
              <w:t>,建筑面积96平方米；</w:t>
            </w:r>
          </w:p>
          <w:p>
            <w:pPr>
              <w:pStyle w:val="null3"/>
              <w:spacing w:after="195"/>
              <w:ind w:firstLine="560"/>
            </w:pPr>
            <w:r>
              <w:rPr>
                <w:rFonts w:ascii="仿宋_GB2312" w:hAnsi="仿宋_GB2312" w:cs="仿宋_GB2312" w:eastAsia="仿宋_GB2312"/>
                <w:sz w:val="28"/>
              </w:rPr>
              <w:t>3、</w:t>
            </w:r>
            <w:r>
              <w:rPr>
                <w:rFonts w:ascii="仿宋_GB2312" w:hAnsi="仿宋_GB2312" w:cs="仿宋_GB2312" w:eastAsia="仿宋_GB2312"/>
                <w:sz w:val="28"/>
              </w:rPr>
              <w:t>新建一层防疫室及消毒室</w:t>
            </w:r>
            <w:r>
              <w:rPr>
                <w:rFonts w:ascii="仿宋_GB2312" w:hAnsi="仿宋_GB2312" w:cs="仿宋_GB2312" w:eastAsia="仿宋_GB2312"/>
                <w:sz w:val="28"/>
              </w:rPr>
              <w:t>,建筑面积21.2平方米；</w:t>
            </w:r>
          </w:p>
          <w:p>
            <w:pPr>
              <w:pStyle w:val="null3"/>
              <w:spacing w:after="195"/>
              <w:ind w:firstLine="560"/>
            </w:pPr>
            <w:r>
              <w:rPr>
                <w:rFonts w:ascii="仿宋_GB2312" w:hAnsi="仿宋_GB2312" w:cs="仿宋_GB2312" w:eastAsia="仿宋_GB2312"/>
                <w:sz w:val="28"/>
              </w:rPr>
              <w:t xml:space="preserve"> 4、</w:t>
            </w:r>
            <w:r>
              <w:rPr>
                <w:rFonts w:ascii="仿宋_GB2312" w:hAnsi="仿宋_GB2312" w:cs="仿宋_GB2312" w:eastAsia="仿宋_GB2312"/>
                <w:sz w:val="28"/>
              </w:rPr>
              <w:t>新建车辆消毒池</w:t>
            </w:r>
            <w:r>
              <w:rPr>
                <w:rFonts w:ascii="仿宋_GB2312" w:hAnsi="仿宋_GB2312" w:cs="仿宋_GB2312" w:eastAsia="仿宋_GB2312"/>
                <w:sz w:val="28"/>
              </w:rPr>
              <w:t>1个,结构蓄水池2座,每座各100立方米,猪舍自动饮水系统100米；</w:t>
            </w:r>
          </w:p>
          <w:p>
            <w:pPr>
              <w:pStyle w:val="null3"/>
              <w:spacing w:after="195"/>
              <w:ind w:firstLine="560"/>
            </w:pPr>
            <w:r>
              <w:rPr>
                <w:rFonts w:ascii="仿宋_GB2312" w:hAnsi="仿宋_GB2312" w:cs="仿宋_GB2312" w:eastAsia="仿宋_GB2312"/>
                <w:sz w:val="28"/>
              </w:rPr>
              <w:t>5、</w:t>
            </w:r>
            <w:r>
              <w:rPr>
                <w:rFonts w:ascii="仿宋_GB2312" w:hAnsi="仿宋_GB2312" w:cs="仿宋_GB2312" w:eastAsia="仿宋_GB2312"/>
                <w:sz w:val="28"/>
              </w:rPr>
              <w:t>新建泡粪槽</w:t>
            </w:r>
            <w:r>
              <w:rPr>
                <w:rFonts w:ascii="仿宋_GB2312" w:hAnsi="仿宋_GB2312" w:cs="仿宋_GB2312" w:eastAsia="仿宋_GB2312"/>
                <w:sz w:val="28"/>
              </w:rPr>
              <w:t>100米,新建漏粪板100米,育肥舍隔断200米,食槽100米,粪污处理三级沉淀池150立方米,砖混彩钢瓦顶干粪堆积池180立方米，漏粪斗及管道漏粪斗及管道70米,化尸窖石混20立方米,饮水管网DN32共计300米 ；</w:t>
            </w:r>
          </w:p>
          <w:p>
            <w:pPr>
              <w:pStyle w:val="null3"/>
              <w:spacing w:after="195"/>
              <w:ind w:firstLine="560"/>
            </w:pPr>
            <w:r>
              <w:rPr>
                <w:rFonts w:ascii="仿宋_GB2312" w:hAnsi="仿宋_GB2312" w:cs="仿宋_GB2312" w:eastAsia="仿宋_GB2312"/>
                <w:sz w:val="28"/>
              </w:rPr>
              <w:t>6、</w:t>
            </w:r>
            <w:r>
              <w:rPr>
                <w:rFonts w:ascii="仿宋_GB2312" w:hAnsi="仿宋_GB2312" w:cs="仿宋_GB2312" w:eastAsia="仿宋_GB2312"/>
                <w:sz w:val="28"/>
              </w:rPr>
              <w:t>新建片石圈舍护坎</w:t>
            </w:r>
            <w:r>
              <w:rPr>
                <w:rFonts w:ascii="仿宋_GB2312" w:hAnsi="仿宋_GB2312" w:cs="仿宋_GB2312" w:eastAsia="仿宋_GB2312"/>
                <w:sz w:val="28"/>
              </w:rPr>
              <w:t>150立方米,饲料晾晒场地硬化200平方米。</w:t>
            </w:r>
          </w:p>
          <w:p>
            <w:pPr>
              <w:pStyle w:val="null3"/>
              <w:spacing w:after="195"/>
            </w:pPr>
            <w:r>
              <w:rPr>
                <w:rFonts w:ascii="仿宋_GB2312" w:hAnsi="仿宋_GB2312" w:cs="仿宋_GB2312" w:eastAsia="仿宋_GB2312"/>
                <w:sz w:val="28"/>
                <w:b/>
              </w:rPr>
              <w:t>二、编制依据</w:t>
            </w:r>
          </w:p>
          <w:p>
            <w:pPr>
              <w:pStyle w:val="null3"/>
              <w:spacing w:after="195"/>
              <w:ind w:firstLine="560"/>
            </w:pPr>
            <w:r>
              <w:rPr>
                <w:rFonts w:ascii="仿宋_GB2312" w:hAnsi="仿宋_GB2312" w:cs="仿宋_GB2312" w:eastAsia="仿宋_GB2312"/>
                <w:sz w:val="28"/>
              </w:rPr>
              <w:t>1、</w:t>
            </w:r>
            <w:r>
              <w:rPr>
                <w:rFonts w:ascii="仿宋_GB2312" w:hAnsi="仿宋_GB2312" w:cs="仿宋_GB2312" w:eastAsia="仿宋_GB2312"/>
                <w:sz w:val="28"/>
              </w:rPr>
              <w:t>由</w:t>
            </w:r>
            <w:r>
              <w:rPr>
                <w:rFonts w:ascii="仿宋_GB2312" w:hAnsi="仿宋_GB2312" w:cs="仿宋_GB2312" w:eastAsia="仿宋_GB2312"/>
                <w:sz w:val="28"/>
              </w:rPr>
              <w:t>贵单位提供的</w:t>
            </w:r>
            <w:r>
              <w:rPr>
                <w:rFonts w:ascii="仿宋_GB2312" w:hAnsi="仿宋_GB2312" w:cs="仿宋_GB2312" w:eastAsia="仿宋_GB2312"/>
                <w:sz w:val="28"/>
              </w:rPr>
              <w:t>2026年镇巴县兴隆镇水田坝社区经济合作生猪养殖项目</w:t>
            </w:r>
            <w:r>
              <w:rPr>
                <w:rFonts w:ascii="仿宋_GB2312" w:hAnsi="仿宋_GB2312" w:cs="仿宋_GB2312" w:eastAsia="仿宋_GB2312"/>
                <w:sz w:val="28"/>
              </w:rPr>
              <w:t>施工图</w:t>
            </w:r>
            <w:r>
              <w:rPr>
                <w:rFonts w:ascii="仿宋_GB2312" w:hAnsi="仿宋_GB2312" w:cs="仿宋_GB2312" w:eastAsia="仿宋_GB2312"/>
                <w:sz w:val="28"/>
              </w:rPr>
              <w:t>及相关要求</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2、《陕西省建设工程费用规则(2025)》</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3、</w:t>
            </w:r>
            <w:r>
              <w:rPr>
                <w:rFonts w:ascii="仿宋_GB2312" w:hAnsi="仿宋_GB2312" w:cs="仿宋_GB2312" w:eastAsia="仿宋_GB2312"/>
                <w:sz w:val="28"/>
              </w:rPr>
              <w:t>《陕西省基价表</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以下专业：</w:t>
            </w:r>
            <w:r>
              <w:rPr>
                <w:rFonts w:ascii="仿宋_GB2312" w:hAnsi="仿宋_GB2312" w:cs="仿宋_GB2312" w:eastAsia="仿宋_GB2312"/>
                <w:sz w:val="28"/>
              </w:rPr>
              <w:t>房屋建筑与装饰</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通用</w:t>
            </w:r>
            <w:r>
              <w:rPr>
                <w:rFonts w:ascii="仿宋_GB2312" w:hAnsi="仿宋_GB2312" w:cs="仿宋_GB2312" w:eastAsia="仿宋_GB2312"/>
                <w:sz w:val="28"/>
              </w:rPr>
              <w:t>安装</w:t>
            </w:r>
            <w:r>
              <w:rPr>
                <w:rFonts w:ascii="仿宋_GB2312" w:hAnsi="仿宋_GB2312" w:cs="仿宋_GB2312" w:eastAsia="仿宋_GB2312"/>
                <w:sz w:val="28"/>
              </w:rPr>
              <w:t>工程</w:t>
            </w:r>
            <w:r>
              <w:rPr>
                <w:rFonts w:ascii="仿宋_GB2312" w:hAnsi="仿宋_GB2312" w:cs="仿宋_GB2312" w:eastAsia="仿宋_GB2312"/>
                <w:sz w:val="28"/>
              </w:rPr>
              <w:t>、市政</w:t>
            </w:r>
            <w:r>
              <w:rPr>
                <w:rFonts w:ascii="仿宋_GB2312" w:hAnsi="仿宋_GB2312" w:cs="仿宋_GB2312" w:eastAsia="仿宋_GB2312"/>
                <w:sz w:val="28"/>
              </w:rPr>
              <w:t>工程</w:t>
            </w:r>
            <w:r>
              <w:rPr>
                <w:rFonts w:ascii="仿宋_GB2312" w:hAnsi="仿宋_GB2312" w:cs="仿宋_GB2312" w:eastAsia="仿宋_GB2312"/>
                <w:sz w:val="28"/>
              </w:rPr>
              <w:t>、园林绿化</w:t>
            </w:r>
            <w:r>
              <w:rPr>
                <w:rFonts w:ascii="仿宋_GB2312" w:hAnsi="仿宋_GB2312" w:cs="仿宋_GB2312" w:eastAsia="仿宋_GB2312"/>
                <w:sz w:val="28"/>
              </w:rPr>
              <w:t>工程</w:t>
            </w:r>
            <w:r>
              <w:rPr>
                <w:rFonts w:ascii="仿宋_GB2312" w:hAnsi="仿宋_GB2312" w:cs="仿宋_GB2312" w:eastAsia="仿宋_GB2312"/>
                <w:sz w:val="28"/>
              </w:rPr>
              <w:t>、城市地下综合管廊</w:t>
            </w:r>
            <w:r>
              <w:rPr>
                <w:rFonts w:ascii="仿宋_GB2312" w:hAnsi="仿宋_GB2312" w:cs="仿宋_GB2312" w:eastAsia="仿宋_GB2312"/>
                <w:sz w:val="28"/>
              </w:rPr>
              <w:t>工程</w:t>
            </w:r>
            <w:r>
              <w:rPr>
                <w:rFonts w:ascii="仿宋_GB2312" w:hAnsi="仿宋_GB2312" w:cs="仿宋_GB2312" w:eastAsia="仿宋_GB2312"/>
                <w:sz w:val="28"/>
              </w:rPr>
              <w:t>、绿色建筑</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4</w:t>
            </w:r>
            <w:r>
              <w:rPr>
                <w:rFonts w:ascii="仿宋_GB2312" w:hAnsi="仿宋_GB2312" w:cs="仿宋_GB2312" w:eastAsia="仿宋_GB2312"/>
                <w:sz w:val="28"/>
              </w:rPr>
              <w:t>、《陕西省消耗量定额</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以下专业：</w:t>
            </w:r>
            <w:r>
              <w:rPr>
                <w:rFonts w:ascii="仿宋_GB2312" w:hAnsi="仿宋_GB2312" w:cs="仿宋_GB2312" w:eastAsia="仿宋_GB2312"/>
                <w:sz w:val="28"/>
              </w:rPr>
              <w:t>房屋建筑与装饰</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通用</w:t>
            </w:r>
            <w:r>
              <w:rPr>
                <w:rFonts w:ascii="仿宋_GB2312" w:hAnsi="仿宋_GB2312" w:cs="仿宋_GB2312" w:eastAsia="仿宋_GB2312"/>
                <w:sz w:val="28"/>
              </w:rPr>
              <w:t>安装</w:t>
            </w:r>
            <w:r>
              <w:rPr>
                <w:rFonts w:ascii="仿宋_GB2312" w:hAnsi="仿宋_GB2312" w:cs="仿宋_GB2312" w:eastAsia="仿宋_GB2312"/>
                <w:sz w:val="28"/>
              </w:rPr>
              <w:t>工程</w:t>
            </w:r>
            <w:r>
              <w:rPr>
                <w:rFonts w:ascii="仿宋_GB2312" w:hAnsi="仿宋_GB2312" w:cs="仿宋_GB2312" w:eastAsia="仿宋_GB2312"/>
                <w:sz w:val="28"/>
              </w:rPr>
              <w:t>、市政</w:t>
            </w:r>
            <w:r>
              <w:rPr>
                <w:rFonts w:ascii="仿宋_GB2312" w:hAnsi="仿宋_GB2312" w:cs="仿宋_GB2312" w:eastAsia="仿宋_GB2312"/>
                <w:sz w:val="28"/>
              </w:rPr>
              <w:t>工程</w:t>
            </w:r>
            <w:r>
              <w:rPr>
                <w:rFonts w:ascii="仿宋_GB2312" w:hAnsi="仿宋_GB2312" w:cs="仿宋_GB2312" w:eastAsia="仿宋_GB2312"/>
                <w:sz w:val="28"/>
              </w:rPr>
              <w:t>、园林绿化</w:t>
            </w:r>
            <w:r>
              <w:rPr>
                <w:rFonts w:ascii="仿宋_GB2312" w:hAnsi="仿宋_GB2312" w:cs="仿宋_GB2312" w:eastAsia="仿宋_GB2312"/>
                <w:sz w:val="28"/>
              </w:rPr>
              <w:t>工程</w:t>
            </w:r>
            <w:r>
              <w:rPr>
                <w:rFonts w:ascii="仿宋_GB2312" w:hAnsi="仿宋_GB2312" w:cs="仿宋_GB2312" w:eastAsia="仿宋_GB2312"/>
                <w:sz w:val="28"/>
              </w:rPr>
              <w:t>、城市地下综合管廊</w:t>
            </w:r>
            <w:r>
              <w:rPr>
                <w:rFonts w:ascii="仿宋_GB2312" w:hAnsi="仿宋_GB2312" w:cs="仿宋_GB2312" w:eastAsia="仿宋_GB2312"/>
                <w:sz w:val="28"/>
              </w:rPr>
              <w:t>工程</w:t>
            </w:r>
            <w:r>
              <w:rPr>
                <w:rFonts w:ascii="仿宋_GB2312" w:hAnsi="仿宋_GB2312" w:cs="仿宋_GB2312" w:eastAsia="仿宋_GB2312"/>
                <w:sz w:val="28"/>
              </w:rPr>
              <w:t>、绿色建筑</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5、</w:t>
            </w:r>
            <w:r>
              <w:rPr>
                <w:rFonts w:ascii="仿宋_GB2312" w:hAnsi="仿宋_GB2312" w:cs="仿宋_GB2312" w:eastAsia="仿宋_GB2312"/>
                <w:sz w:val="28"/>
              </w:rPr>
              <w:t>《陕西省建设工程施工机械台班费用定额</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陕西省建设工程施工仪器仪表台班费用定额</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7</w:t>
            </w:r>
            <w:r>
              <w:rPr>
                <w:rFonts w:ascii="仿宋_GB2312" w:hAnsi="仿宋_GB2312" w:cs="仿宋_GB2312" w:eastAsia="仿宋_GB2312"/>
                <w:sz w:val="28"/>
              </w:rPr>
              <w:t>、材料价格按</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年第</w:t>
            </w:r>
            <w:r>
              <w:rPr>
                <w:rFonts w:ascii="仿宋_GB2312" w:hAnsi="仿宋_GB2312" w:cs="仿宋_GB2312" w:eastAsia="仿宋_GB2312"/>
                <w:sz w:val="28"/>
              </w:rPr>
              <w:t>2</w:t>
            </w:r>
            <w:r>
              <w:rPr>
                <w:rFonts w:ascii="仿宋_GB2312" w:hAnsi="仿宋_GB2312" w:cs="仿宋_GB2312" w:eastAsia="仿宋_GB2312"/>
                <w:sz w:val="28"/>
              </w:rPr>
              <w:t>期《汉中市建设工程造价信息》计入</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8</w:t>
            </w:r>
            <w:r>
              <w:rPr>
                <w:rFonts w:ascii="仿宋_GB2312" w:hAnsi="仿宋_GB2312" w:cs="仿宋_GB2312" w:eastAsia="仿宋_GB2312"/>
                <w:sz w:val="28"/>
              </w:rPr>
              <w:t>、运用广联达云计价平台</w:t>
            </w:r>
            <w:r>
              <w:rPr>
                <w:rFonts w:ascii="仿宋_GB2312" w:hAnsi="仿宋_GB2312" w:cs="仿宋_GB2312" w:eastAsia="仿宋_GB2312"/>
                <w:sz w:val="28"/>
              </w:rPr>
              <w:t xml:space="preserve">GCCP </w:t>
            </w:r>
            <w:r>
              <w:rPr>
                <w:rFonts w:ascii="仿宋_GB2312" w:hAnsi="仿宋_GB2312" w:cs="仿宋_GB2312" w:eastAsia="仿宋_GB2312"/>
                <w:sz w:val="28"/>
              </w:rPr>
              <w:t>7</w:t>
            </w:r>
            <w:r>
              <w:rPr>
                <w:rFonts w:ascii="仿宋_GB2312" w:hAnsi="仿宋_GB2312" w:cs="仿宋_GB2312" w:eastAsia="仿宋_GB2312"/>
                <w:sz w:val="28"/>
              </w:rPr>
              <w:t xml:space="preserve">.0 </w:t>
            </w:r>
            <w:r>
              <w:rPr>
                <w:rFonts w:ascii="仿宋_GB2312" w:hAnsi="仿宋_GB2312" w:cs="仿宋_GB2312" w:eastAsia="仿宋_GB2312"/>
                <w:sz w:val="28"/>
              </w:rPr>
              <w:t>计价；</w:t>
            </w:r>
          </w:p>
          <w:p>
            <w:pPr>
              <w:pStyle w:val="null3"/>
              <w:spacing w:after="195"/>
            </w:pPr>
            <w:r>
              <w:rPr>
                <w:rFonts w:ascii="仿宋_GB2312" w:hAnsi="仿宋_GB2312" w:cs="仿宋_GB2312" w:eastAsia="仿宋_GB2312"/>
                <w:sz w:val="28"/>
                <w:b/>
              </w:rPr>
              <w:t>三、相关说明</w:t>
            </w:r>
          </w:p>
          <w:p>
            <w:pPr>
              <w:pStyle w:val="null3"/>
              <w:spacing w:after="195"/>
              <w:ind w:firstLine="560"/>
            </w:pPr>
            <w:r>
              <w:rPr>
                <w:rFonts w:ascii="仿宋_GB2312" w:hAnsi="仿宋_GB2312" w:cs="仿宋_GB2312" w:eastAsia="仿宋_GB2312"/>
                <w:sz w:val="28"/>
              </w:rPr>
              <w:t>1、建筑垃圾外运暂按5km计入；</w:t>
            </w:r>
          </w:p>
          <w:p>
            <w:pPr>
              <w:pStyle w:val="null3"/>
              <w:spacing w:after="195"/>
              <w:ind w:firstLine="560"/>
            </w:pPr>
            <w:r>
              <w:rPr>
                <w:rFonts w:ascii="仿宋_GB2312" w:hAnsi="仿宋_GB2312" w:cs="仿宋_GB2312" w:eastAsia="仿宋_GB2312"/>
                <w:sz w:val="28"/>
              </w:rPr>
              <w:t>2、车辆消毒池暂按3万元/座计入，结算以实际为准；</w:t>
            </w:r>
          </w:p>
          <w:p>
            <w:pPr>
              <w:pStyle w:val="null3"/>
              <w:spacing w:after="195"/>
              <w:ind w:firstLine="560"/>
            </w:pPr>
            <w:r>
              <w:rPr>
                <w:rFonts w:ascii="仿宋_GB2312" w:hAnsi="仿宋_GB2312" w:cs="仿宋_GB2312" w:eastAsia="仿宋_GB2312"/>
                <w:sz w:val="28"/>
              </w:rPr>
              <w:t>3、蓄水池暂按3万元/座计入，结算以实际为准；</w:t>
            </w:r>
          </w:p>
          <w:p>
            <w:pPr>
              <w:pStyle w:val="null3"/>
              <w:spacing w:after="195"/>
              <w:ind w:firstLine="560"/>
            </w:pPr>
            <w:r>
              <w:rPr>
                <w:rFonts w:ascii="仿宋_GB2312" w:hAnsi="仿宋_GB2312" w:cs="仿宋_GB2312" w:eastAsia="仿宋_GB2312"/>
                <w:sz w:val="28"/>
              </w:rPr>
              <w:t>4、猪舍自动饮水系统暂按0.6万元/项计入，结算以实际为准；</w:t>
            </w:r>
          </w:p>
          <w:p>
            <w:pPr>
              <w:pStyle w:val="null3"/>
              <w:spacing w:after="195"/>
              <w:ind w:firstLine="560"/>
            </w:pPr>
            <w:r>
              <w:rPr>
                <w:rFonts w:ascii="仿宋_GB2312" w:hAnsi="仿宋_GB2312" w:cs="仿宋_GB2312" w:eastAsia="仿宋_GB2312"/>
                <w:sz w:val="28"/>
              </w:rPr>
              <w:t>5、泡粪槽暂按0.3万元/项计入，结算以实际为准；</w:t>
            </w:r>
          </w:p>
          <w:p>
            <w:pPr>
              <w:pStyle w:val="null3"/>
              <w:spacing w:after="195"/>
              <w:ind w:firstLine="560"/>
            </w:pPr>
            <w:r>
              <w:rPr>
                <w:rFonts w:ascii="仿宋_GB2312" w:hAnsi="仿宋_GB2312" w:cs="仿宋_GB2312" w:eastAsia="仿宋_GB2312"/>
                <w:sz w:val="28"/>
              </w:rPr>
              <w:t>6、漏粪板暂按0.5万元/项计入，结算以实际为准；</w:t>
            </w:r>
          </w:p>
          <w:p>
            <w:pPr>
              <w:pStyle w:val="null3"/>
              <w:spacing w:after="195"/>
              <w:ind w:firstLine="560"/>
            </w:pPr>
            <w:r>
              <w:rPr>
                <w:rFonts w:ascii="仿宋_GB2312" w:hAnsi="仿宋_GB2312" w:cs="仿宋_GB2312" w:eastAsia="仿宋_GB2312"/>
                <w:sz w:val="28"/>
              </w:rPr>
              <w:t>7、育肥舍隔断暂按0.6万元/项计入，结算以实际为准；</w:t>
            </w:r>
          </w:p>
          <w:p>
            <w:pPr>
              <w:pStyle w:val="null3"/>
              <w:spacing w:after="195"/>
              <w:ind w:firstLine="560"/>
            </w:pPr>
            <w:r>
              <w:rPr>
                <w:rFonts w:ascii="仿宋_GB2312" w:hAnsi="仿宋_GB2312" w:cs="仿宋_GB2312" w:eastAsia="仿宋_GB2312"/>
                <w:sz w:val="28"/>
              </w:rPr>
              <w:t>8、食槽暂按0.3万元/项计入，结算以实际为准；</w:t>
            </w:r>
          </w:p>
          <w:p>
            <w:pPr>
              <w:pStyle w:val="null3"/>
              <w:spacing w:after="195"/>
              <w:ind w:firstLine="560"/>
            </w:pPr>
            <w:r>
              <w:rPr>
                <w:rFonts w:ascii="仿宋_GB2312" w:hAnsi="仿宋_GB2312" w:cs="仿宋_GB2312" w:eastAsia="仿宋_GB2312"/>
                <w:sz w:val="28"/>
              </w:rPr>
              <w:t>9、粪污处理三级沉淀池暂按6万元/座计入，结算以实际为准；</w:t>
            </w:r>
          </w:p>
          <w:p>
            <w:pPr>
              <w:pStyle w:val="null3"/>
              <w:spacing w:after="195"/>
              <w:ind w:firstLine="560"/>
            </w:pPr>
            <w:r>
              <w:rPr>
                <w:rFonts w:ascii="仿宋_GB2312" w:hAnsi="仿宋_GB2312" w:cs="仿宋_GB2312" w:eastAsia="仿宋_GB2312"/>
                <w:sz w:val="28"/>
              </w:rPr>
              <w:t>10、砖混彩钢瓦顶干粪堆积池暂按5万元/座计入，结算以实际为准；</w:t>
            </w:r>
          </w:p>
          <w:p>
            <w:pPr>
              <w:pStyle w:val="null3"/>
              <w:spacing w:after="195"/>
              <w:ind w:firstLine="560"/>
            </w:pPr>
            <w:r>
              <w:rPr>
                <w:rFonts w:ascii="仿宋_GB2312" w:hAnsi="仿宋_GB2312" w:cs="仿宋_GB2312" w:eastAsia="仿宋_GB2312"/>
                <w:sz w:val="28"/>
              </w:rPr>
              <w:t>11、漏粪斗及管道漏粪斗及管道暂按0.7万元/项计入，结算以实际为准；</w:t>
            </w:r>
          </w:p>
          <w:p>
            <w:pPr>
              <w:pStyle w:val="null3"/>
              <w:spacing w:after="195"/>
              <w:ind w:firstLine="560"/>
            </w:pPr>
            <w:r>
              <w:rPr>
                <w:rFonts w:ascii="仿宋_GB2312" w:hAnsi="仿宋_GB2312" w:cs="仿宋_GB2312" w:eastAsia="仿宋_GB2312"/>
                <w:sz w:val="28"/>
              </w:rPr>
              <w:t>12、化尸窖石混暂按2万元/座计入，结算以实际为准；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1、工期：90日历天；2、质量标准：达到规定要求标准。 其他技术要求详见本工程施工图纸及工程量清单。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供应商承诺书.pdf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 户开户银行自开标时间前六个月内出具的资信证明。依法不需要提供此项的单位应提供相关证明材料:供应商需在项目电子化交易系 统中按要求上传相应证明文件并进行电子签章。</w:t>
            </w:r>
          </w:p>
        </w:tc>
        <w:tc>
          <w:tcPr>
            <w:tcW w:type="dxa" w:w="1661"/>
          </w:tcPr>
          <w:p>
            <w:pPr>
              <w:pStyle w:val="null3"/>
            </w:pPr>
            <w:r>
              <w:rPr>
                <w:rFonts w:ascii="仿宋_GB2312" w:hAnsi="仿宋_GB2312" w:cs="仿宋_GB2312" w:eastAsia="仿宋_GB2312"/>
              </w:rPr>
              <w:t>响应文件封面 响应函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供应商应提交的相关资格证明材料(1).pdf 供应商认为需要提供的其他内容.pdf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响应函 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 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拟派项目经理须具有建筑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项目经理简历表.docx 响应函 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 盖章并加盖投标供应商公章</w:t>
            </w:r>
          </w:p>
        </w:tc>
        <w:tc>
          <w:tcPr>
            <w:tcW w:type="dxa" w:w="1661"/>
          </w:tcPr>
          <w:p>
            <w:pPr>
              <w:pStyle w:val="null3"/>
            </w:pPr>
            <w:r>
              <w:rPr>
                <w:rFonts w:ascii="仿宋_GB2312" w:hAnsi="仿宋_GB2312" w:cs="仿宋_GB2312" w:eastAsia="仿宋_GB2312"/>
              </w:rPr>
              <w:t>响应文件封面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项目施工部署</w:t>
            </w:r>
          </w:p>
        </w:tc>
        <w:tc>
          <w:tcPr>
            <w:tcW w:type="dxa" w:w="2492"/>
          </w:tcPr>
          <w:p>
            <w:pPr>
              <w:pStyle w:val="null3"/>
            </w:pPr>
            <w:r>
              <w:rPr>
                <w:rFonts w:ascii="仿宋_GB2312" w:hAnsi="仿宋_GB2312" w:cs="仿宋_GB2312" w:eastAsia="仿宋_GB2312"/>
              </w:rPr>
              <w:t>一、评审内容 供应商针对本项目编制完善的项目施工部署，内容包含：①核心施工管理内容：施工总体部署、施工方案与技术措施、成本目标、工期目标、质量目标②施工平面布置与安排：现场围挡及出入口管理、交通组织安排、消防安排、施工平面布置图。 二、评审标准 1、完整性：方案必须全面，对评审内容中的各项要求有详细描述； 2、可实施性：切合本项目实际情况，提出步骤清晰、合理的方案； 3、针对性：方案能够紧扣项目实际情况，内容科学合理。 三、赋分标准 ①核心施工管理内容：每完全满足一个评审标准得2分，满分6分； ②施工平面布置与安排：每完全满足一个评审标准得2分，满分6分；未提供或明显套用其他项目内容的不得分。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 全 管 理 体 系 与 措 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 程 进 度 保 证 措 施</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 量 管 理 体 系 与 措 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 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2、可实施性：切合本项目实际情况，实施步骤清晰、合理；3、针对性：方案能够紧扣项目实际情况，内容科学合理。 三、赋分标准 ①材料、半成品和机具的堆放管理：每完全满足一个评审标准得1分，满分3分； ②文明施工检查措施：每完全满足一个评审标准得1分，满分3分。未提供或明显套用其他项目 内容的不得分。 (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施工设备配置</w:t>
            </w:r>
          </w:p>
        </w:tc>
        <w:tc>
          <w:tcPr>
            <w:tcW w:type="dxa" w:w="2492"/>
          </w:tcPr>
          <w:p>
            <w:pPr>
              <w:pStyle w:val="null3"/>
            </w:pPr>
            <w:r>
              <w:rPr>
                <w:rFonts w:ascii="仿宋_GB2312" w:hAnsi="仿宋_GB2312" w:cs="仿宋_GB2312" w:eastAsia="仿宋_GB2312"/>
              </w:rPr>
              <w:t>针对本项目拟投入的主要施工机械设备配备进行评审，评审标准：1. 完整性：拟投入设备 种类齐全，相关内容描述完整详细，得2分；2. 可实施性：设备配置及进场方案切合项目 实际，步骤清晰、安排合理，得2分；3. 针对性：设备配置方案紧密结合本项目特点，科 学可行、合理适用，得2分。赋分标准：（满分6分）每完全满足一个评审标准得2分，满 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 目 部 人 员 组 成</w:t>
            </w:r>
          </w:p>
        </w:tc>
        <w:tc>
          <w:tcPr>
            <w:tcW w:type="dxa" w:w="2492"/>
          </w:tcPr>
          <w:p>
            <w:pPr>
              <w:pStyle w:val="null3"/>
            </w:pPr>
            <w:r>
              <w:rPr>
                <w:rFonts w:ascii="仿宋_GB2312" w:hAnsi="仿宋_GB2312" w:cs="仿宋_GB2312" w:eastAsia="仿宋_GB2312"/>
              </w:rPr>
              <w:t>1、①项目管理机构图；②项目现场岗位人员配置方案及各岗位工作职责（含技术负责人、施工员、安全员、资料员、材料员、质量员等核心岗位）；③项目配套管理制度及现场实施保障措施。评审标准：供应商提供方案内容完整详实、逻辑清晰、贴合本项目建设要求，可有效保障项目落地实施的得6分。三项评审内容每缺失一项扣2分；若单项内容表述简略、内容不完善、前后逻辑冲突、模板化套用、与本项目建设需求不匹配、内容杜撰、存在专业常识错误，以及其他影响项目施工实施的缺陷问题，单项扣1分，本项分数扣完为止；2、项目经理具备工程类中级及以上专业技术职称得2分，具备初级专业技术职称得1分。 评审依据：磋商文件中提供职称证书复印件并加盖投标人公章。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项目经理简历表.docx</w:t>
            </w:r>
          </w:p>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2.5分，满分5分。未提供此项内容不得分。注：业绩以中标/成交通知书或合同协议书或完工证明或竣工验收证明或其他合法证明材料，否则不作为加分项。响应文件内附相关资料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以满足招标文件要求且投标价格最低的投标报价为评标基准价，其价格分为满分30分，其他投标单位的价格分按照下列公式计算：投标报价得分=（评标基准价/投标报价） ×30% ×100 。经评标委员会一致认定，投标单位的投标最终总报价低于公认市场成本，或超过采购预算,其响应将被拒绝；（得分计算结果保留小数点后两位，小数点第三位四舍五入）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详见附件：拟投入本项目人员配置情况表.pdf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