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版本号：ZJDY-HZCG-2026-0920260529003</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2026年南郑区湘水镇人居环境补短板项目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ZJDY-HZCG-2026-09</w:t>
      </w:r>
      <w:r>
        <w:br/>
      </w:r>
      <w:r>
        <w:br/>
      </w:r>
      <w:r>
        <w:br/>
      </w:r>
    </w:p>
    <w:p>
      <w:pPr>
        <w:pStyle w:val="null3"/>
        <w:jc w:val="center"/>
        <w:outlineLvl w:val="2"/>
      </w:pPr>
      <w:r>
        <w:rPr>
          <w:rFonts w:ascii="仿宋_GB2312" w:hAnsi="仿宋_GB2312" w:cs="仿宋_GB2312" w:eastAsia="仿宋_GB2312"/>
          <w:sz w:val="28"/>
          <w:b/>
        </w:rPr>
        <w:t>汉中市南郑区湘水镇人民政府</w:t>
      </w:r>
    </w:p>
    <w:p>
      <w:pPr>
        <w:pStyle w:val="null3"/>
        <w:jc w:val="center"/>
        <w:outlineLvl w:val="2"/>
      </w:pPr>
      <w:r>
        <w:rPr>
          <w:rFonts w:ascii="仿宋_GB2312" w:hAnsi="仿宋_GB2312" w:cs="仿宋_GB2312" w:eastAsia="仿宋_GB2312"/>
          <w:sz w:val="28"/>
          <w:b/>
        </w:rPr>
        <w:t>中佳鼎运建设管理有限公司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中佳鼎运建设管理有限公司</w:t>
      </w:r>
      <w:r>
        <w:rPr>
          <w:rFonts w:ascii="仿宋_GB2312" w:hAnsi="仿宋_GB2312" w:cs="仿宋_GB2312" w:eastAsia="仿宋_GB2312"/>
        </w:rPr>
        <w:t>（以下简称“代理机构”）受</w:t>
      </w:r>
      <w:r>
        <w:rPr>
          <w:rFonts w:ascii="仿宋_GB2312" w:hAnsi="仿宋_GB2312" w:cs="仿宋_GB2312" w:eastAsia="仿宋_GB2312"/>
        </w:rPr>
        <w:t>汉中市南郑区湘水镇人民政府</w:t>
      </w:r>
      <w:r>
        <w:rPr>
          <w:rFonts w:ascii="仿宋_GB2312" w:hAnsi="仿宋_GB2312" w:cs="仿宋_GB2312" w:eastAsia="仿宋_GB2312"/>
        </w:rPr>
        <w:t>委托，拟对</w:t>
      </w:r>
      <w:r>
        <w:rPr>
          <w:rFonts w:ascii="仿宋_GB2312" w:hAnsi="仿宋_GB2312" w:cs="仿宋_GB2312" w:eastAsia="仿宋_GB2312"/>
        </w:rPr>
        <w:t>2026年南郑区湘水镇人居环境补短板项目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ZJDY-HZCG-2026-09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2026年南郑区湘水镇人居环境补短板项目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安全护栏修复、混凝土块石挡墙、场地回填平整、简单绿化整治提升、破损路面修复改造、步道硬化、破墙体整治、排水沟、垃圾处理点治理、场地硬化、健身器材、成品石材桌凳、砂砾石路面、钢筋混凝土仿木护栏及湘水镇村内户外道路边环境整治。具体建设内容以工程量清单描述为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采购包1（2026年南郑区湘水镇人居环境补短板项目）：属于专门面向中小企业采购。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主体资格；：供应商为具有独立承担民事责任能力的企业法人、事业法人、其他组织，提供营业执照复印件（事业单位须事业单位法人证、组织机构代码证等证明文件；其他组织应提供合法证明文件）；</w:t>
      </w:r>
    </w:p>
    <w:p>
      <w:pPr>
        <w:pStyle w:val="null3"/>
      </w:pPr>
      <w:r>
        <w:rPr>
          <w:rFonts w:ascii="仿宋_GB2312" w:hAnsi="仿宋_GB2312" w:cs="仿宋_GB2312" w:eastAsia="仿宋_GB2312"/>
        </w:rPr>
        <w:t>2、法定代表人或被授权委托人。：法定代表人直接参加磋商的，须出具法人身份证(附法定代表人身份证复印件)；法定代表人授权代表参加磋商的，须出具法定代表人授权书及授权代表身份证(附法定代表人身份证复印件及被授权人身份证复印件)。</w:t>
      </w:r>
    </w:p>
    <w:p>
      <w:pPr>
        <w:pStyle w:val="null3"/>
      </w:pPr>
      <w:r>
        <w:rPr>
          <w:rFonts w:ascii="仿宋_GB2312" w:hAnsi="仿宋_GB2312" w:cs="仿宋_GB2312" w:eastAsia="仿宋_GB2312"/>
        </w:rPr>
        <w:t>3、供应商资格要求；：供应商具有行政主管部门核发的市政公用工程施工总承包三级（含三级）及以上资质，且具有有效的安全生产许可证；</w:t>
      </w:r>
    </w:p>
    <w:p>
      <w:pPr>
        <w:pStyle w:val="null3"/>
      </w:pPr>
      <w:r>
        <w:rPr>
          <w:rFonts w:ascii="仿宋_GB2312" w:hAnsi="仿宋_GB2312" w:cs="仿宋_GB2312" w:eastAsia="仿宋_GB2312"/>
        </w:rPr>
        <w:t>4、拟派项目经理资格要求；：拟派项目经理须具备市政公用工程专业二级（含二级）以上注册建造师资格和安全生产考核合格B证，且无在建项目（需提供无在建承诺书）；</w:t>
      </w:r>
    </w:p>
    <w:p>
      <w:pPr>
        <w:pStyle w:val="null3"/>
      </w:pPr>
      <w:r>
        <w:rPr>
          <w:rFonts w:ascii="仿宋_GB2312" w:hAnsi="仿宋_GB2312" w:cs="仿宋_GB2312" w:eastAsia="仿宋_GB2312"/>
        </w:rPr>
        <w:t>5、信誉要求；：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p>
      <w:pPr>
        <w:pStyle w:val="null3"/>
      </w:pPr>
      <w:r>
        <w:rPr>
          <w:rFonts w:ascii="仿宋_GB2312" w:hAnsi="仿宋_GB2312" w:cs="仿宋_GB2312" w:eastAsia="仿宋_GB2312"/>
        </w:rPr>
        <w:t>6、其他要求；：本项目不接受联合体磋商（提供非联合体声明）。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汉中市南郑区湘水镇人民政府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湘水镇湘水村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汉中市南郑区湘水镇人民政府府经办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15891464149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中佳鼎运建设管理有限公司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四川省成都市武侯区成都市武侯区佳灵路5号1栋11层1117号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邹丽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18980735047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程辉</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采购包1：1,618,900.00元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开户名称：中佳鼎运建设管理有限公司汉中分公司</w:t>
            </w:r>
          </w:p>
          <w:p>
            <w:pPr>
              <w:pStyle w:val="null3"/>
            </w:pPr>
            <w:r>
              <w:rPr>
                <w:rFonts w:ascii="仿宋_GB2312" w:hAnsi="仿宋_GB2312" w:cs="仿宋_GB2312" w:eastAsia="仿宋_GB2312"/>
              </w:rPr>
              <w:t>开户银行：中国工商银行股份有限公司汉中西环路支行</w:t>
            </w:r>
          </w:p>
          <w:p>
            <w:pPr>
              <w:pStyle w:val="null3"/>
            </w:pPr>
            <w:r>
              <w:rPr>
                <w:rFonts w:ascii="仿宋_GB2312" w:hAnsi="仿宋_GB2312" w:cs="仿宋_GB2312" w:eastAsia="仿宋_GB2312"/>
              </w:rPr>
              <w:t>银行账号：2606053909200098484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计价格【2002】1980号)《招标代理服务收费管理暂行办法》和国家发展改革委办公厅（发改办价格【2003】857号）和国家发展改革委（发改价格【2011】534号）文件的相关规定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汉中市南郑区湘水镇人民政府</w:t>
      </w:r>
      <w:r>
        <w:rPr>
          <w:rFonts w:ascii="仿宋_GB2312" w:hAnsi="仿宋_GB2312" w:cs="仿宋_GB2312" w:eastAsia="仿宋_GB2312"/>
        </w:rPr>
        <w:t>和</w:t>
      </w:r>
      <w:r>
        <w:rPr>
          <w:rFonts w:ascii="仿宋_GB2312" w:hAnsi="仿宋_GB2312" w:cs="仿宋_GB2312" w:eastAsia="仿宋_GB2312"/>
        </w:rPr>
        <w:t>中佳鼎运建设管理有限公司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汉中市南郑区湘水镇人民政府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中佳鼎运建设管理有限公司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汉中市南郑区湘水镇人民政府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中佳鼎运建设管理有限公司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满足采购人工作需求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中佳鼎运建设管理有限公司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中佳鼎运建设管理有限公司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中佳鼎运建设管理有限公司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联系人：李女士</w:t>
      </w:r>
    </w:p>
    <w:p>
      <w:pPr>
        <w:pStyle w:val="null3"/>
      </w:pPr>
      <w:r>
        <w:rPr>
          <w:rFonts w:ascii="仿宋_GB2312" w:hAnsi="仿宋_GB2312" w:cs="仿宋_GB2312" w:eastAsia="仿宋_GB2312"/>
        </w:rPr>
        <w:t>联系电话：13571677736</w:t>
      </w:r>
    </w:p>
    <w:p>
      <w:pPr>
        <w:pStyle w:val="null3"/>
      </w:pPr>
      <w:r>
        <w:rPr>
          <w:rFonts w:ascii="仿宋_GB2312" w:hAnsi="仿宋_GB2312" w:cs="仿宋_GB2312" w:eastAsia="仿宋_GB2312"/>
        </w:rPr>
        <w:t>地址：陕西省汉中市汉台区东关街道办事处中饮国际办公中C8楼8026号</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1,618,900.00</w:t>
      </w:r>
    </w:p>
    <w:p>
      <w:pPr>
        <w:pStyle w:val="null3"/>
      </w:pPr>
      <w:r>
        <w:rPr>
          <w:rFonts w:ascii="仿宋_GB2312" w:hAnsi="仿宋_GB2312" w:cs="仿宋_GB2312" w:eastAsia="仿宋_GB2312"/>
        </w:rPr>
        <w:t>采购包最高限价（元）: 1,615,833.70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2026年南郑区湘水镇人居环境补短板项目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1,618,900.00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标的名称：2026年南郑区湘水镇人居环境补短板项目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right="-180"/>
              <w:jc w:val="left"/>
            </w:pPr>
            <w:r>
              <w:rPr>
                <w:rFonts w:ascii="仿宋_GB2312" w:hAnsi="仿宋_GB2312" w:cs="仿宋_GB2312" w:eastAsia="仿宋_GB2312"/>
                <w:sz w:val="24"/>
                <w:b/>
              </w:rPr>
              <w:t>一、工程概况</w:t>
            </w:r>
          </w:p>
          <w:p>
            <w:pPr>
              <w:pStyle w:val="null3"/>
              <w:ind w:firstLine="480"/>
              <w:jc w:val="left"/>
            </w:pPr>
            <w:r>
              <w:rPr>
                <w:rFonts w:ascii="仿宋_GB2312" w:hAnsi="仿宋_GB2312" w:cs="仿宋_GB2312" w:eastAsia="仿宋_GB2312"/>
                <w:sz w:val="24"/>
              </w:rPr>
              <w:t>本工程图纸由中述设计集团有限公司、中裕工程集团有限公司设计。主要建设内容：安全护栏修复</w:t>
            </w:r>
            <w:r>
              <w:rPr>
                <w:rFonts w:ascii="仿宋_GB2312" w:hAnsi="仿宋_GB2312" w:cs="仿宋_GB2312" w:eastAsia="仿宋_GB2312"/>
                <w:sz w:val="24"/>
              </w:rPr>
              <w:t>84.6m、混凝土块石挡墙550m3、场地回填平整600m2、简单绿化整治提升858.2m2、破损路面修复改造142.72m2、步道硬化26.73m2、破墙体整治115m2、排水沟43米、垃圾处理点治理1处、场地硬化570m2、健身器材4套、成品石材桌凳2套、砂砾石路面690米、钢筋混凝土仿木护栏800m及湘水镇村内户外5.65公里道路边环境整治。具体建设内容以工程量清单描述为准。</w:t>
            </w:r>
          </w:p>
          <w:p>
            <w:pPr>
              <w:pStyle w:val="null3"/>
              <w:jc w:val="left"/>
            </w:pPr>
            <w:r>
              <w:rPr>
                <w:rFonts w:ascii="仿宋_GB2312" w:hAnsi="仿宋_GB2312" w:cs="仿宋_GB2312" w:eastAsia="仿宋_GB2312"/>
                <w:sz w:val="24"/>
                <w:b/>
              </w:rPr>
              <w:t>二、编制依据</w:t>
            </w:r>
          </w:p>
          <w:p>
            <w:pPr>
              <w:pStyle w:val="null3"/>
              <w:ind w:firstLine="480"/>
              <w:jc w:val="both"/>
            </w:pPr>
            <w:r>
              <w:rPr>
                <w:rFonts w:ascii="仿宋_GB2312" w:hAnsi="仿宋_GB2312" w:cs="仿宋_GB2312" w:eastAsia="仿宋_GB2312"/>
                <w:sz w:val="24"/>
              </w:rPr>
              <w:t>1、依据汉中市南郑区</w:t>
            </w:r>
            <w:r>
              <w:rPr>
                <w:rFonts w:ascii="仿宋_GB2312" w:hAnsi="仿宋_GB2312" w:cs="仿宋_GB2312" w:eastAsia="仿宋_GB2312"/>
                <w:sz w:val="24"/>
              </w:rPr>
              <w:t>湘水</w:t>
            </w:r>
            <w:r>
              <w:rPr>
                <w:rFonts w:ascii="仿宋_GB2312" w:hAnsi="仿宋_GB2312" w:cs="仿宋_GB2312" w:eastAsia="仿宋_GB2312"/>
                <w:sz w:val="24"/>
              </w:rPr>
              <w:t>镇人民政府提供的</w:t>
            </w:r>
            <w:r>
              <w:rPr>
                <w:rFonts w:ascii="仿宋_GB2312" w:hAnsi="仿宋_GB2312" w:cs="仿宋_GB2312" w:eastAsia="仿宋_GB2312"/>
                <w:sz w:val="24"/>
              </w:rPr>
              <w:t>施工</w:t>
            </w:r>
            <w:r>
              <w:rPr>
                <w:rFonts w:ascii="仿宋_GB2312" w:hAnsi="仿宋_GB2312" w:cs="仿宋_GB2312" w:eastAsia="仿宋_GB2312"/>
                <w:sz w:val="24"/>
              </w:rPr>
              <w:t>图纸等</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《陕西省工程建设标准之建设工程工程量清单计价标准》</w:t>
            </w:r>
            <w:r>
              <w:rPr>
                <w:rFonts w:ascii="仿宋_GB2312" w:hAnsi="仿宋_GB2312" w:cs="仿宋_GB2312" w:eastAsia="仿宋_GB2312"/>
                <w:sz w:val="24"/>
              </w:rPr>
              <w:t>(2025)</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《陕西省工程建设标准之工程量计算标准》</w:t>
            </w:r>
            <w:r>
              <w:rPr>
                <w:rFonts w:ascii="仿宋_GB2312" w:hAnsi="仿宋_GB2312" w:cs="仿宋_GB2312" w:eastAsia="仿宋_GB2312"/>
                <w:sz w:val="24"/>
              </w:rPr>
              <w:t>(2025)</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4、《陕西省建设工程费用规则(2025)》</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5、《陕西省基价表(房屋建筑、装饰工程、通用安装、市政、园林绿化、地下综合管廊、绿色建筑)(2025)》、《陕西省消耗量定额(房屋建筑、装饰工程、通用安装、市政、园林绿化、地下综合管廊、绿色建筑)(2025)》、《陕西省建设工程施工机械台班费用定额(2025)》、《陕西省建设工程施工仪器仪表台班费用定额(2025)》及配套使用的相关计价文件、其他相关计价依据等</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6、主要材料价按汉中市工程造价管理办公室发布的《汉中建设工程造价信息》202</w:t>
            </w:r>
            <w:r>
              <w:rPr>
                <w:rFonts w:ascii="仿宋_GB2312" w:hAnsi="仿宋_GB2312" w:cs="仿宋_GB2312" w:eastAsia="仿宋_GB2312"/>
                <w:sz w:val="24"/>
              </w:rPr>
              <w:t>6</w:t>
            </w:r>
            <w:r>
              <w:rPr>
                <w:rFonts w:ascii="仿宋_GB2312" w:hAnsi="仿宋_GB2312" w:cs="仿宋_GB2312" w:eastAsia="仿宋_GB2312"/>
                <w:sz w:val="24"/>
              </w:rPr>
              <w:t>年第</w:t>
            </w:r>
            <w:r>
              <w:rPr>
                <w:rFonts w:ascii="仿宋_GB2312" w:hAnsi="仿宋_GB2312" w:cs="仿宋_GB2312" w:eastAsia="仿宋_GB2312"/>
                <w:sz w:val="24"/>
              </w:rPr>
              <w:t>3</w:t>
            </w:r>
            <w:r>
              <w:rPr>
                <w:rFonts w:ascii="仿宋_GB2312" w:hAnsi="仿宋_GB2312" w:cs="仿宋_GB2312" w:eastAsia="仿宋_GB2312"/>
                <w:sz w:val="24"/>
              </w:rPr>
              <w:t>期材料价、当前建筑材料市场价综合计入</w:t>
            </w:r>
            <w:r>
              <w:rPr>
                <w:rFonts w:ascii="仿宋_GB2312" w:hAnsi="仿宋_GB2312" w:cs="仿宋_GB2312" w:eastAsia="仿宋_GB2312"/>
                <w:sz w:val="24"/>
              </w:rPr>
              <w:t>。</w:t>
            </w:r>
          </w:p>
          <w:p>
            <w:pPr>
              <w:pStyle w:val="null3"/>
              <w:ind w:right="-180"/>
              <w:jc w:val="left"/>
            </w:pPr>
            <w:r>
              <w:rPr>
                <w:rFonts w:ascii="仿宋_GB2312" w:hAnsi="仿宋_GB2312" w:cs="仿宋_GB2312" w:eastAsia="仿宋_GB2312"/>
                <w:sz w:val="24"/>
                <w:b/>
              </w:rPr>
              <w:t>三、问题说明</w:t>
            </w:r>
          </w:p>
          <w:p>
            <w:pPr>
              <w:pStyle w:val="null3"/>
              <w:ind w:firstLine="480"/>
              <w:jc w:val="left"/>
            </w:pPr>
            <w:r>
              <w:rPr>
                <w:rFonts w:ascii="仿宋_GB2312" w:hAnsi="仿宋_GB2312" w:cs="仿宋_GB2312" w:eastAsia="仿宋_GB2312"/>
                <w:sz w:val="24"/>
              </w:rPr>
              <w:t>1、C25混凝土块石挡墙及相关工程量暂按设计图纸地基容许力500KPa,平均高度7m计入工程，结算时据实计算；</w:t>
            </w:r>
          </w:p>
          <w:p>
            <w:pPr>
              <w:pStyle w:val="null3"/>
              <w:ind w:firstLine="480"/>
              <w:jc w:val="left"/>
            </w:pPr>
            <w:r>
              <w:rPr>
                <w:rFonts w:ascii="仿宋_GB2312" w:hAnsi="仿宋_GB2312" w:cs="仿宋_GB2312" w:eastAsia="仿宋_GB2312"/>
                <w:sz w:val="24"/>
              </w:rPr>
              <w:t>2、户外坐凳，暂按综合单价800元/个计入；</w:t>
            </w:r>
          </w:p>
          <w:p>
            <w:pPr>
              <w:pStyle w:val="null3"/>
              <w:ind w:firstLine="480"/>
              <w:jc w:val="left"/>
            </w:pPr>
            <w:r>
              <w:rPr>
                <w:rFonts w:ascii="仿宋_GB2312" w:hAnsi="仿宋_GB2312" w:cs="仿宋_GB2312" w:eastAsia="仿宋_GB2312"/>
                <w:sz w:val="24"/>
              </w:rPr>
              <w:t>3、停车装置，暂按综合单价600元/个计入；</w:t>
            </w:r>
          </w:p>
          <w:p>
            <w:pPr>
              <w:pStyle w:val="null3"/>
              <w:ind w:firstLine="480"/>
              <w:jc w:val="left"/>
            </w:pPr>
            <w:r>
              <w:rPr>
                <w:rFonts w:ascii="仿宋_GB2312" w:hAnsi="仿宋_GB2312" w:cs="仿宋_GB2312" w:eastAsia="仿宋_GB2312"/>
                <w:sz w:val="24"/>
              </w:rPr>
              <w:t>4、新建堡坎，暂按综合单价120000元/项；</w:t>
            </w:r>
          </w:p>
          <w:p>
            <w:pPr>
              <w:pStyle w:val="null3"/>
              <w:ind w:firstLine="480"/>
              <w:jc w:val="left"/>
            </w:pPr>
            <w:r>
              <w:rPr>
                <w:rFonts w:ascii="仿宋_GB2312" w:hAnsi="仿宋_GB2312" w:cs="仿宋_GB2312" w:eastAsia="仿宋_GB2312"/>
                <w:sz w:val="24"/>
              </w:rPr>
              <w:t>5、成品石材桌凳，暂按综合单价1000元/套计入；</w:t>
            </w:r>
          </w:p>
          <w:p>
            <w:pPr>
              <w:pStyle w:val="null3"/>
              <w:ind w:firstLine="480"/>
              <w:jc w:val="left"/>
            </w:pPr>
            <w:r>
              <w:rPr>
                <w:rFonts w:ascii="仿宋_GB2312" w:hAnsi="仿宋_GB2312" w:cs="仿宋_GB2312" w:eastAsia="仿宋_GB2312"/>
                <w:sz w:val="24"/>
              </w:rPr>
              <w:t>6、成品户外健身器材，暂按综合单价1000元/套计入；</w:t>
            </w:r>
          </w:p>
          <w:p>
            <w:pPr>
              <w:pStyle w:val="null3"/>
              <w:ind w:firstLine="480"/>
              <w:jc w:val="left"/>
            </w:pPr>
            <w:r>
              <w:rPr>
                <w:rFonts w:ascii="仿宋_GB2312" w:hAnsi="仿宋_GB2312" w:cs="仿宋_GB2312" w:eastAsia="仿宋_GB2312"/>
                <w:sz w:val="24"/>
              </w:rPr>
              <w:t>7、C25片石混凝土挡墙弃土外运，垃圾外运，运距暂按5KM计入。</w:t>
            </w:r>
          </w:p>
          <w:p>
            <w:pPr>
              <w:pStyle w:val="null3"/>
              <w:jc w:val="left"/>
            </w:pPr>
            <w:r>
              <w:rPr>
                <w:rFonts w:ascii="仿宋_GB2312" w:hAnsi="仿宋_GB2312" w:cs="仿宋_GB2312" w:eastAsia="仿宋_GB2312"/>
                <w:sz w:val="24"/>
                <w:b/>
              </w:rPr>
              <w:t>四、</w:t>
            </w:r>
            <w:r>
              <w:rPr>
                <w:rFonts w:ascii="仿宋_GB2312" w:hAnsi="仿宋_GB2312" w:cs="仿宋_GB2312" w:eastAsia="仿宋_GB2312"/>
                <w:sz w:val="24"/>
                <w:b/>
              </w:rPr>
              <w:t>质量标准：合格</w:t>
            </w:r>
          </w:p>
          <w:p>
            <w:pPr>
              <w:pStyle w:val="null3"/>
              <w:jc w:val="left"/>
            </w:pPr>
            <w:r>
              <w:rPr>
                <w:rFonts w:ascii="仿宋_GB2312" w:hAnsi="仿宋_GB2312" w:cs="仿宋_GB2312" w:eastAsia="仿宋_GB2312"/>
                <w:sz w:val="24"/>
                <w:b/>
              </w:rPr>
              <w:t>五：工期：</w:t>
            </w:r>
            <w:r>
              <w:rPr>
                <w:rFonts w:ascii="仿宋_GB2312" w:hAnsi="仿宋_GB2312" w:cs="仿宋_GB2312" w:eastAsia="仿宋_GB2312"/>
                <w:sz w:val="24"/>
                <w:b/>
              </w:rPr>
              <w:t>60日历天</w:t>
            </w:r>
          </w:p>
          <w:p>
            <w:pPr>
              <w:pStyle w:val="null3"/>
              <w:jc w:val="left"/>
            </w:pPr>
            <w:r>
              <w:rPr>
                <w:rFonts w:ascii="仿宋_GB2312" w:hAnsi="仿宋_GB2312" w:cs="仿宋_GB2312" w:eastAsia="仿宋_GB2312"/>
                <w:sz w:val="24"/>
                <w:b/>
              </w:rPr>
              <w:t>六、质保期：</w:t>
            </w:r>
            <w:r>
              <w:rPr>
                <w:rFonts w:ascii="仿宋_GB2312" w:hAnsi="仿宋_GB2312" w:cs="仿宋_GB2312" w:eastAsia="仿宋_GB2312"/>
                <w:sz w:val="24"/>
                <w:b/>
              </w:rPr>
              <w:t xml:space="preserve">1年   </w:t>
            </w:r>
            <w:r>
              <w:rPr>
                <w:rFonts w:ascii="仿宋_GB2312" w:hAnsi="仿宋_GB2312" w:cs="仿宋_GB2312" w:eastAsia="仿宋_GB2312"/>
                <w:sz w:val="21"/>
              </w:rPr>
              <w:t xml:space="preserve">         </w:t>
            </w:r>
          </w:p>
          <w:p>
            <w:pPr>
              <w:pStyle w:val="null3"/>
              <w:jc w:val="left"/>
            </w:pPr>
          </w:p>
        </w:tc>
      </w:tr>
    </w:tbl>
    <w:p>
      <w:pPr>
        <w:pStyle w:val="null3"/>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达到国家及行业标准及采购人要求“合格”</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因本项目为不见面开标，供应商无需在开标现场提交纸质响应文件，待采购结果发布后3个工作日内成交供应商向代理机构提交纸质版响应文件以便于存档，响应文件包括:正本壹份、副本壹份，电子版U盘壹份(含响应文件全部内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供应商主体资格；</w:t>
            </w:r>
          </w:p>
        </w:tc>
        <w:tc>
          <w:tcPr>
            <w:tcW w:type="dxa" w:w="3322"/>
          </w:tcPr>
          <w:p>
            <w:pPr>
              <w:pStyle w:val="null3"/>
            </w:pPr>
            <w:r>
              <w:rPr>
                <w:rFonts w:ascii="仿宋_GB2312" w:hAnsi="仿宋_GB2312" w:cs="仿宋_GB2312" w:eastAsia="仿宋_GB2312"/>
              </w:rPr>
              <w:t>供应商为具有独立承担民事责任能力的企业法人、事业法人、其他组织，提供营业执照复印件（事业单位须事业单位法人证、组织机构代码证等证明文件；其他组织应提供合法证明文件）；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法定代表人或被授权委托人。</w:t>
            </w:r>
          </w:p>
        </w:tc>
        <w:tc>
          <w:tcPr>
            <w:tcW w:type="dxa" w:w="3322"/>
          </w:tcPr>
          <w:p>
            <w:pPr>
              <w:pStyle w:val="null3"/>
            </w:pPr>
            <w:r>
              <w:rPr>
                <w:rFonts w:ascii="仿宋_GB2312" w:hAnsi="仿宋_GB2312" w:cs="仿宋_GB2312" w:eastAsia="仿宋_GB2312"/>
              </w:rPr>
              <w:t>法定代表人直接参加磋商的，须出具法人身份证(附法定代表人身份证复印件)；法定代表人授权代表参加磋商的，须出具法定代表人授权书及授权代表身份证(附法定代表人身份证复印件及被授权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供应商资格要求；</w:t>
            </w:r>
          </w:p>
        </w:tc>
        <w:tc>
          <w:tcPr>
            <w:tcW w:type="dxa" w:w="3322"/>
          </w:tcPr>
          <w:p>
            <w:pPr>
              <w:pStyle w:val="null3"/>
            </w:pPr>
            <w:r>
              <w:rPr>
                <w:rFonts w:ascii="仿宋_GB2312" w:hAnsi="仿宋_GB2312" w:cs="仿宋_GB2312" w:eastAsia="仿宋_GB2312"/>
              </w:rPr>
              <w:t>供应商具有行政主管部门核发的市政公用工程施工总承包三级（含三级）及以上资质，且具有有效的安全生产许可证；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拟派项目经理资格要求；</w:t>
            </w:r>
          </w:p>
        </w:tc>
        <w:tc>
          <w:tcPr>
            <w:tcW w:type="dxa" w:w="3322"/>
          </w:tcPr>
          <w:p>
            <w:pPr>
              <w:pStyle w:val="null3"/>
            </w:pPr>
            <w:r>
              <w:rPr>
                <w:rFonts w:ascii="仿宋_GB2312" w:hAnsi="仿宋_GB2312" w:cs="仿宋_GB2312" w:eastAsia="仿宋_GB2312"/>
              </w:rPr>
              <w:t>拟派项目经理须具备市政公用工程专业二级（含二级）以上注册建造师资格和安全生产考核合格B证，且无在建项目（需提供无在建承诺书）；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本项目不接受联合体磋商（提供非联合体声明）。</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报价函 技术服务合同条款及其他商务要求应答表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w:t>
            </w:r>
          </w:p>
        </w:tc>
        <w:tc>
          <w:tcPr>
            <w:tcW w:type="dxa" w:w="1661"/>
          </w:tcPr>
          <w:p>
            <w:pPr>
              <w:pStyle w:val="null3"/>
            </w:pPr>
            <w:r>
              <w:rPr>
                <w:rFonts w:ascii="仿宋_GB2312" w:hAnsi="仿宋_GB2312" w:cs="仿宋_GB2312" w:eastAsia="仿宋_GB2312"/>
              </w:rPr>
              <w:t>已标价工程量清单 报价函 标的清单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应满足磋商文件的要求</w:t>
            </w:r>
          </w:p>
        </w:tc>
        <w:tc>
          <w:tcPr>
            <w:tcW w:type="dxa" w:w="1661"/>
          </w:tcPr>
          <w:p>
            <w:pPr>
              <w:pStyle w:val="null3"/>
            </w:pPr>
            <w:r>
              <w:rPr>
                <w:rFonts w:ascii="仿宋_GB2312" w:hAnsi="仿宋_GB2312" w:cs="仿宋_GB2312" w:eastAsia="仿宋_GB2312"/>
              </w:rPr>
              <w:t>响应文件封面 标的清单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工程质量</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标的清单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响应文件上法定代表人或其委托代理人的签字齐全并加盖单位公章</w:t>
            </w:r>
          </w:p>
        </w:tc>
        <w:tc>
          <w:tcPr>
            <w:tcW w:type="dxa" w:w="1661"/>
          </w:tcPr>
          <w:p>
            <w:pPr>
              <w:pStyle w:val="null3"/>
            </w:pPr>
            <w:r>
              <w:rPr>
                <w:rFonts w:ascii="仿宋_GB2312" w:hAnsi="仿宋_GB2312" w:cs="仿宋_GB2312" w:eastAsia="仿宋_GB2312"/>
              </w:rPr>
              <w:t>响应文件封面 已标价工程量清单 中小企业声明函 残疾人福利性单位声明函 报价函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按照磋商文件要求提交了保证金</w:t>
            </w:r>
          </w:p>
        </w:tc>
        <w:tc>
          <w:tcPr>
            <w:tcW w:type="dxa" w:w="1661"/>
          </w:tcPr>
          <w:p>
            <w:pPr>
              <w:pStyle w:val="null3"/>
            </w:pPr>
            <w:r>
              <w:rPr>
                <w:rFonts w:ascii="仿宋_GB2312" w:hAnsi="仿宋_GB2312" w:cs="仿宋_GB2312" w:eastAsia="仿宋_GB2312"/>
              </w:rPr>
              <w:t>磋商保证金.docx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总体施工方案</w:t>
            </w:r>
          </w:p>
        </w:tc>
        <w:tc>
          <w:tcPr>
            <w:tcW w:type="dxa" w:w="2492"/>
          </w:tcPr>
          <w:p>
            <w:pPr>
              <w:pStyle w:val="null3"/>
            </w:pPr>
            <w:r>
              <w:rPr>
                <w:rFonts w:ascii="仿宋_GB2312" w:hAnsi="仿宋_GB2312" w:cs="仿宋_GB2312" w:eastAsia="仿宋_GB2312"/>
              </w:rPr>
              <w:t>一、评审内容：供应商针对本项目编制完善的施工部署,内容包含： ①施工目标；②施工准备 ；③施工平面布置与安排。 二、评审标准 ：1、完整性：方案必须全面,对评审内容中的各项要求有详细描述；2、可实施性：切合本项目实际情况，提出步清晰、合理的方案;3、针对性：方案能够紧扣项目实际情况，内容科学合理。 三、赋分标准(满分6分)：(①施工目标：每完全满足一个评审标准得 0.5分，满分 1.5分; ②施工准备：每完全满足一个评审标准得 0.5 分，满分1.5分；③施工平面布置与安排：每完全满足一个评审标准得1分，满分3分；④未提供者不得分。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1.总体施工方案.docx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一、评审内容:供应商针对本项目编制完善的质量保证措施，内容包含:①施工质量的检验制度;②确保质量的技术组织措施;③施工质量控制措施。 二、评审标准:1、完整性:方案必须全面，对评审内容中的各项要求有详细描述;2、可实施性:切合本项目实际情况，提出步清晰、合理的方案;3、针对性:方案能够紧扣项目实际情况，内容科学合理。 三、赋分标准(满分9分):①施工质量检验制度:每完全满足一个评审标准得1分，满分3分;②确保质量的技术组织措施:每完全满足一个评审标准得1分，满分3分;③施工质量控制措施:每完全满足一个评审标准得1分，满分3分;④未提供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2.质量保证措施.docx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一、评审内容:供应商针对本项目编制完善的施工进度计划，内容包含:①施工进度计划横道图; ②进度计划保证措施 ;③工期保证措施。 二、评审标准 :1、完整性:方案必须全面，对评审内容中的各项要求有详细描述;2、可实施性:切合本项目实际情况，提出步清晰、合理的方案;3、针对性:方案能够紧扣项目实际情况，内容科学合理。 三、赋分标准(满分9分):①施工进度计划横道图:每完全满足一个评审标准得1分，满分3分;②进度计划保证措施:每完全满足一个评审标准得1分,满分3分;③工期保证措施:每完全满足一个评审标准得1分，满分3分;④未提供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3.施工进度计划.docx</w:t>
            </w:r>
          </w:p>
        </w:tc>
      </w:tr>
      <w:tr>
        <w:tc>
          <w:tcPr>
            <w:tcW w:type="dxa" w:w="831"/>
            <w:vMerge/>
          </w:tcPr>
          <w:p/>
        </w:tc>
        <w:tc>
          <w:tcPr>
            <w:tcW w:type="dxa" w:w="1661"/>
          </w:tcPr>
          <w:p>
            <w:pPr>
              <w:pStyle w:val="null3"/>
            </w:pPr>
            <w:r>
              <w:rPr>
                <w:rFonts w:ascii="仿宋_GB2312" w:hAnsi="仿宋_GB2312" w:cs="仿宋_GB2312" w:eastAsia="仿宋_GB2312"/>
              </w:rPr>
              <w:t>安全施工措施</w:t>
            </w:r>
          </w:p>
        </w:tc>
        <w:tc>
          <w:tcPr>
            <w:tcW w:type="dxa" w:w="2492"/>
          </w:tcPr>
          <w:p>
            <w:pPr>
              <w:pStyle w:val="null3"/>
            </w:pPr>
            <w:r>
              <w:rPr>
                <w:rFonts w:ascii="仿宋_GB2312" w:hAnsi="仿宋_GB2312" w:cs="仿宋_GB2312" w:eastAsia="仿宋_GB2312"/>
              </w:rPr>
              <w:t>一、评审内容:供应商针对本项目编制完整的安全施工措施，内容包含:①安全生产管理制度; ②安全施工措施;③安全应急预案;④安全生产教育。 二、评审标准:1、完整性:方案必须全面，对评审内容中的各项要求有详细描述;2、可实施性:切合本项目实际情况，提出步骤清晰、合理的方案;3、针对性:方案能够紧扣项目实际情况，内容科学合理。 三、赋分标准(满分7.5分):①安全生产管理制度:每完全满足一个评审标准得1分，满分3分; ②安全施工措施:每完全满足一个评审标准得0.5分，满分1.5分;③安全应急预案:每完全满足一个评审标准得0.5分，满分1.5分;④安全生产教育:每完全满足一个评审标准得 0.5分，满分 1.5分;⑤未提供者不得分。</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4.安全施工措施.docx</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一、评审内容:供应商针对本项目编制完整的文明施工措施，内容包含: ①文明施工管理目标及技术措施;②文明施工现场管理:材料管理、防扰民措施。 二、评审标准:1、完整性:方案必须全面，对评审内容中的各项要求有详细描述;2、可实施性:切合本项目实际情况,提出步骤清晰、合理的方案;3、针对性:方案能够紧扣项目实际情况，内容科学合理。 三、赋分标准(满分6分):①文明施工管理目标及技术措施:每完全满足一个评审标准得1分，满分3分;②文明施工现场管理:每完全满足一个评审标准得1分，满分3分:③未提供者不得分。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5.文明施工措施.docx</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一、评审内容:供应商针对本项目编制完善的资源配置计划，内容包含:①劳动力资源配置计划;②施工机械设备投入计划;③主要施工材料供应计划。 二、评审标准:1、完整性:方案必须全面，对评审内容中的各项要求有详细描述;2、可实施性:切合本项目实际情况，提出步骤清晰、合理的方案;3、针对性:方案能够紧扣项目实际情况，内容科学合理。 三、赋分标准(满分 7.5 分):①劳动力资源配置计划:每完全满足一个评审标准得1分，满分3分;②施工机械设备投入计划:每完全满足一个评审标准得1分，满分3分;③主要施工材料供应计划:每完全满足一个评审标准得 0.5分，满分 1.5 分;④未提供者不得分。</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6.资源配置计划.docx</w:t>
            </w:r>
          </w:p>
        </w:tc>
      </w:tr>
      <w:tr>
        <w:tc>
          <w:tcPr>
            <w:tcW w:type="dxa" w:w="831"/>
            <w:vMerge/>
          </w:tcPr>
          <w:p/>
        </w:tc>
        <w:tc>
          <w:tcPr>
            <w:tcW w:type="dxa" w:w="1661"/>
          </w:tcPr>
          <w:p>
            <w:pPr>
              <w:pStyle w:val="null3"/>
            </w:pPr>
            <w:r>
              <w:rPr>
                <w:rFonts w:ascii="仿宋_GB2312" w:hAnsi="仿宋_GB2312" w:cs="仿宋_GB2312" w:eastAsia="仿宋_GB2312"/>
              </w:rPr>
              <w:t>针对突发事件应急保证措施</w:t>
            </w:r>
          </w:p>
        </w:tc>
        <w:tc>
          <w:tcPr>
            <w:tcW w:type="dxa" w:w="2492"/>
          </w:tcPr>
          <w:p>
            <w:pPr>
              <w:pStyle w:val="null3"/>
            </w:pPr>
            <w:r>
              <w:rPr>
                <w:rFonts w:ascii="仿宋_GB2312" w:hAnsi="仿宋_GB2312" w:cs="仿宋_GB2312" w:eastAsia="仿宋_GB2312"/>
              </w:rPr>
              <w:t>一、评审内容：针对项目实施过程中可能出现的恶劣天气、自然灾害、公共活动等突发情况，评审应急方案的针对性、可操作性及响应及时性，保障项目顺利推进。 二、评分标准：0-3分：仅提及制定应急方案，未区分突发事件类型，无具体处置措施、无物资清单，内容笼统；3.1-5分：按突发事件类型（恶劣天气、自然灾害等）制定专项应急方案，明确具体处置措施（如暴雨时暂停施工、启用临时排水设备；洪涝时组织设备转移），明确应急响应流程、应急物资清单及责任人，方案可直接落地执行。缺项处理：未提供应急措施的，得 0 分，视为不满足评审要求。</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7.针对突发事件应急保证措施.docx</w:t>
            </w:r>
          </w:p>
        </w:tc>
      </w:tr>
      <w:tr>
        <w:tc>
          <w:tcPr>
            <w:tcW w:type="dxa" w:w="831"/>
            <w:vMerge/>
          </w:tcPr>
          <w:p/>
        </w:tc>
        <w:tc>
          <w:tcPr>
            <w:tcW w:type="dxa" w:w="1661"/>
          </w:tcPr>
          <w:p>
            <w:pPr>
              <w:pStyle w:val="null3"/>
            </w:pPr>
            <w:r>
              <w:rPr>
                <w:rFonts w:ascii="仿宋_GB2312" w:hAnsi="仿宋_GB2312" w:cs="仿宋_GB2312" w:eastAsia="仿宋_GB2312"/>
              </w:rPr>
              <w:t>业绩要求</w:t>
            </w:r>
          </w:p>
        </w:tc>
        <w:tc>
          <w:tcPr>
            <w:tcW w:type="dxa" w:w="2492"/>
          </w:tcPr>
          <w:p>
            <w:pPr>
              <w:pStyle w:val="null3"/>
            </w:pPr>
            <w:r>
              <w:rPr>
                <w:rFonts w:ascii="仿宋_GB2312" w:hAnsi="仿宋_GB2312" w:cs="仿宋_GB2312" w:eastAsia="仿宋_GB2312"/>
              </w:rPr>
              <w:t>提供2023年1月至今完成过类似业绩，提供一个得2.5分，最高可得5分；评审依据：提供加盖公章的中标通知书、合同协议书，时间以签订的施工合同签订时间为准，此项未提供不得分。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8、类似业绩情况表.docx</w:t>
            </w:r>
          </w:p>
        </w:tc>
      </w:tr>
      <w:tr>
        <w:tc>
          <w:tcPr>
            <w:tcW w:type="dxa" w:w="831"/>
            <w:vMerge/>
          </w:tcPr>
          <w:p/>
        </w:tc>
        <w:tc>
          <w:tcPr>
            <w:tcW w:type="dxa" w:w="1661"/>
          </w:tcPr>
          <w:p>
            <w:pPr>
              <w:pStyle w:val="null3"/>
            </w:pPr>
            <w:r>
              <w:rPr>
                <w:rFonts w:ascii="仿宋_GB2312" w:hAnsi="仿宋_GB2312" w:cs="仿宋_GB2312" w:eastAsia="仿宋_GB2312"/>
              </w:rPr>
              <w:t>项目拟派人员安排</w:t>
            </w:r>
          </w:p>
        </w:tc>
        <w:tc>
          <w:tcPr>
            <w:tcW w:type="dxa" w:w="2492"/>
          </w:tcPr>
          <w:p>
            <w:pPr>
              <w:pStyle w:val="null3"/>
            </w:pPr>
            <w:r>
              <w:rPr>
                <w:rFonts w:ascii="仿宋_GB2312" w:hAnsi="仿宋_GB2312" w:cs="仿宋_GB2312" w:eastAsia="仿宋_GB2312"/>
              </w:rPr>
              <w:t>一、评审内容:(一)①管理机构的配备计划；②组织机构的岗位职责。 二、评审标准: 1、实施性:切合本项目实际情况，提出步清晰、合理的方案;2、完整性:方案内容要素齐全，涵盖实施流程、管控措施、保障举措等关键内容，体系完善无缺项。3、针对性:方案能够紧扣项目实际情况，内容科学合理。 三、赋分标准(满分4.5分)①管理机构的配备计划:每完全满足一个评审标准得1分，满分3分;②组织机构的岗位职责:每完全满足一个评审标准得0.5分，满分1.5分;未提供相关方案及资料的本项不得分。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9.项目拟派人员安排.docx</w:t>
            </w:r>
          </w:p>
        </w:tc>
      </w:tr>
      <w:tr>
        <w:tc>
          <w:tcPr>
            <w:tcW w:type="dxa" w:w="831"/>
            <w:vMerge/>
          </w:tcPr>
          <w:p/>
        </w:tc>
        <w:tc>
          <w:tcPr>
            <w:tcW w:type="dxa" w:w="1661"/>
          </w:tcPr>
          <w:p>
            <w:pPr>
              <w:pStyle w:val="null3"/>
            </w:pPr>
            <w:r>
              <w:rPr>
                <w:rFonts w:ascii="仿宋_GB2312" w:hAnsi="仿宋_GB2312" w:cs="仿宋_GB2312" w:eastAsia="仿宋_GB2312"/>
              </w:rPr>
              <w:t>分部分项工程施工方案</w:t>
            </w:r>
          </w:p>
        </w:tc>
        <w:tc>
          <w:tcPr>
            <w:tcW w:type="dxa" w:w="2492"/>
          </w:tcPr>
          <w:p>
            <w:pPr>
              <w:pStyle w:val="null3"/>
            </w:pPr>
            <w:r>
              <w:rPr>
                <w:rFonts w:ascii="仿宋_GB2312" w:hAnsi="仿宋_GB2312" w:cs="仿宋_GB2312" w:eastAsia="仿宋_GB2312"/>
              </w:rPr>
              <w:t>一、评审内容： 供应商针对本项目编制完善的分部分项工程施工方案，内容包含： ①工程重难点及解决措施； ②分部分项工程施工方法；③施工质量通病防治措施。 二、评审标准： 1、完整性：方案必须全面，对评审内容中的各项要求有详细描述； 2、可实施性：切合本项目实际情况，提出步骤清晰、合理的方案； 3、针对性：方案能够紧扣项目实际情况，内容科学合理。 三、赋分标准（满分6分）： ①工程重难点及解决措施：每完全满足一个评审标准得1分，满分3分； ②分部分项工程施工方法：每完全满足一个评审标准得0.5分，满分1.5 分； ③施工质量通病防治措施：每完全满足一个评审标准得0.5分，满分1.5分；④未提供者不得分。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10.分部分项工程施工方案.docx</w:t>
            </w:r>
          </w:p>
        </w:tc>
      </w:tr>
      <w:tr>
        <w:tc>
          <w:tcPr>
            <w:tcW w:type="dxa" w:w="831"/>
            <w:vMerge/>
          </w:tcPr>
          <w:p/>
        </w:tc>
        <w:tc>
          <w:tcPr>
            <w:tcW w:type="dxa" w:w="1661"/>
          </w:tcPr>
          <w:p>
            <w:pPr>
              <w:pStyle w:val="null3"/>
            </w:pPr>
            <w:r>
              <w:rPr>
                <w:rFonts w:ascii="仿宋_GB2312" w:hAnsi="仿宋_GB2312" w:cs="仿宋_GB2312" w:eastAsia="仿宋_GB2312"/>
              </w:rPr>
              <w:t>保修方案</w:t>
            </w:r>
          </w:p>
        </w:tc>
        <w:tc>
          <w:tcPr>
            <w:tcW w:type="dxa" w:w="2492"/>
          </w:tcPr>
          <w:p>
            <w:pPr>
              <w:pStyle w:val="null3"/>
            </w:pPr>
            <w:r>
              <w:rPr>
                <w:rFonts w:ascii="仿宋_GB2312" w:hAnsi="仿宋_GB2312" w:cs="仿宋_GB2312" w:eastAsia="仿宋_GB2312"/>
              </w:rPr>
              <w:t>一、评审内容：结合本项目的实际，供应商应依据国家相关规定对工程质量编制保修方案，内容包含： ①维修措施；②保修责任；③保修承诺。 二、评审标准：1、完整性：内容必须全面，对评审内容中的各项要求有详细描述；2、落实性：合项目具体情况，提出责任明确、要求具体的方案；3、针对性：内容能够紧扣项目实际情况，内容科学合理。 三、赋分标准(满分 4.5 分)：①维修措施：每完全满足一个评审标准得 0.5分，满分 1.5分；②保修责任：每完全满足一个评审标准得0.5分，满分1.5分；(③保修承诺：每完全满足一个评审标准得 0.5分，满分 1.5 分；④未提供者不得分。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11.保修方案.docx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经资格审查、符合性审查合格的磋商文件，其投标报价为有效投标报价。 1、上限为采购预算价，即报价大于上限价视为无效标； 2、以满足本次磋商文件要求的最低报价为评审基准价，其价格为满分； 3、不享有政策优惠条件的投标投标人报价得分=（评审基准价/报价）×30。 4.本项目为专门面向中小企业项目，专门面向中小企业采购的项目，不再执行价格评审优惠的扶持政策。 5.为保证项目质量，投标人报价若低于招标采购预算的 80%，须对报价合理性及成本构成做书面说明（如报价成本分析），如未能提供有效证明，将被视为低于成本报价而报价无效。（投标报价评审只评投标总价）。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本项目授权磋商小组直接确认成交供应商，确认后代理机构在陕西省政府采购网上发布成交结果公告，同时向成交供应商发出成交通知书。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详见附件：磋商保证金.docx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详见附件：1.总体施工方案.docx</w:t>
      </w:r>
    </w:p>
    <w:p>
      <w:pPr>
        <w:pStyle w:val="null3"/>
        <w:ind w:firstLine="960"/>
      </w:pPr>
      <w:r>
        <w:rPr>
          <w:rFonts w:ascii="仿宋_GB2312" w:hAnsi="仿宋_GB2312" w:cs="仿宋_GB2312" w:eastAsia="仿宋_GB2312"/>
        </w:rPr>
        <w:t>详见附件：2.质量保证措施.docx</w:t>
      </w:r>
    </w:p>
    <w:p>
      <w:pPr>
        <w:pStyle w:val="null3"/>
        <w:ind w:firstLine="960"/>
      </w:pPr>
      <w:r>
        <w:rPr>
          <w:rFonts w:ascii="仿宋_GB2312" w:hAnsi="仿宋_GB2312" w:cs="仿宋_GB2312" w:eastAsia="仿宋_GB2312"/>
        </w:rPr>
        <w:t>详见附件：3.施工进度计划.docx</w:t>
      </w:r>
    </w:p>
    <w:p>
      <w:pPr>
        <w:pStyle w:val="null3"/>
        <w:ind w:firstLine="960"/>
      </w:pPr>
      <w:r>
        <w:rPr>
          <w:rFonts w:ascii="仿宋_GB2312" w:hAnsi="仿宋_GB2312" w:cs="仿宋_GB2312" w:eastAsia="仿宋_GB2312"/>
        </w:rPr>
        <w:t>详见附件：4.安全施工措施.docx</w:t>
      </w:r>
    </w:p>
    <w:p>
      <w:pPr>
        <w:pStyle w:val="null3"/>
        <w:ind w:firstLine="960"/>
      </w:pPr>
      <w:r>
        <w:rPr>
          <w:rFonts w:ascii="仿宋_GB2312" w:hAnsi="仿宋_GB2312" w:cs="仿宋_GB2312" w:eastAsia="仿宋_GB2312"/>
        </w:rPr>
        <w:t>详见附件：5.文明施工措施.docx</w:t>
      </w:r>
    </w:p>
    <w:p>
      <w:pPr>
        <w:pStyle w:val="null3"/>
        <w:ind w:firstLine="960"/>
      </w:pPr>
      <w:r>
        <w:rPr>
          <w:rFonts w:ascii="仿宋_GB2312" w:hAnsi="仿宋_GB2312" w:cs="仿宋_GB2312" w:eastAsia="仿宋_GB2312"/>
        </w:rPr>
        <w:t>详见附件：6.资源配置计划.docx</w:t>
      </w:r>
    </w:p>
    <w:p>
      <w:pPr>
        <w:pStyle w:val="null3"/>
        <w:ind w:firstLine="960"/>
      </w:pPr>
      <w:r>
        <w:rPr>
          <w:rFonts w:ascii="仿宋_GB2312" w:hAnsi="仿宋_GB2312" w:cs="仿宋_GB2312" w:eastAsia="仿宋_GB2312"/>
        </w:rPr>
        <w:t>详见附件：7.针对突发事件应急保证措施.docx</w:t>
      </w:r>
    </w:p>
    <w:p>
      <w:pPr>
        <w:pStyle w:val="null3"/>
        <w:ind w:firstLine="960"/>
      </w:pPr>
      <w:r>
        <w:rPr>
          <w:rFonts w:ascii="仿宋_GB2312" w:hAnsi="仿宋_GB2312" w:cs="仿宋_GB2312" w:eastAsia="仿宋_GB2312"/>
        </w:rPr>
        <w:t>详见附件：8、类似业绩情况表.docx</w:t>
      </w:r>
    </w:p>
    <w:p>
      <w:pPr>
        <w:pStyle w:val="null3"/>
        <w:ind w:firstLine="960"/>
      </w:pPr>
      <w:r>
        <w:rPr>
          <w:rFonts w:ascii="仿宋_GB2312" w:hAnsi="仿宋_GB2312" w:cs="仿宋_GB2312" w:eastAsia="仿宋_GB2312"/>
        </w:rPr>
        <w:t>详见附件：9.项目拟派人员安排.docx</w:t>
      </w:r>
    </w:p>
    <w:p>
      <w:pPr>
        <w:pStyle w:val="null3"/>
        <w:ind w:firstLine="960"/>
      </w:pPr>
      <w:r>
        <w:rPr>
          <w:rFonts w:ascii="仿宋_GB2312" w:hAnsi="仿宋_GB2312" w:cs="仿宋_GB2312" w:eastAsia="仿宋_GB2312"/>
        </w:rPr>
        <w:t>详见附件：10.分部分项工程施工方案.docx</w:t>
      </w:r>
    </w:p>
    <w:p>
      <w:pPr>
        <w:pStyle w:val="null3"/>
        <w:ind w:firstLine="960"/>
      </w:pPr>
      <w:r>
        <w:rPr>
          <w:rFonts w:ascii="仿宋_GB2312" w:hAnsi="仿宋_GB2312" w:cs="仿宋_GB2312" w:eastAsia="仿宋_GB2312"/>
        </w:rPr>
        <w:t>详见附件：11.保修方案.docx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