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版本号：ZDCG202607230220260727001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1.5核磁共振仪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ZDCG2026072302</w:t>
      </w:r>
      <w:r>
        <w:br/>
      </w:r>
      <w:r>
        <w:br/>
      </w:r>
      <w:r>
        <w:br/>
      </w:r>
    </w:p>
    <w:p>
      <w:pPr>
        <w:pStyle w:val="null3"/>
        <w:jc w:val="center"/>
        <w:outlineLvl w:val="2"/>
      </w:pPr>
      <w:r>
        <w:rPr>
          <w:rFonts w:ascii="仿宋_GB2312" w:hAnsi="仿宋_GB2312" w:cs="仿宋_GB2312" w:eastAsia="仿宋_GB2312"/>
          <w:sz w:val="28"/>
          <w:b/>
        </w:rPr>
        <w:t>汉中市传染病医院（汉中市第二人民医院）</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汉中市传染病医院（汉中市第二人民医院）</w:t>
      </w:r>
      <w:r>
        <w:rPr>
          <w:rFonts w:ascii="仿宋_GB2312" w:hAnsi="仿宋_GB2312" w:cs="仿宋_GB2312" w:eastAsia="仿宋_GB2312"/>
        </w:rPr>
        <w:t>委托，拟对</w:t>
      </w:r>
      <w:r>
        <w:rPr>
          <w:rFonts w:ascii="仿宋_GB2312" w:hAnsi="仿宋_GB2312" w:cs="仿宋_GB2312" w:eastAsia="仿宋_GB2312"/>
        </w:rPr>
        <w:t>1.5核磁共振仪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ZDCG2026072302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1.5核磁共振仪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1.5T医用磁共振成像系统，为满足设备与现场场地适配要求，投标人负责完成现有机房改造装修、设备独立地线安装、机房屏蔽防护施工及设备验收等全部相关工作，涵盖范围内所有材料、施工、调试、检测等配套事项，本项目实行交钥匙工程，验收合格后交付使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1、经营主体：具有独立承担民事责任能力的法人或其他组织，提供有效营业执照或事业单位法人证书等国家规定的相关证明，自然人参与的提供其身份证明；</w:t>
      </w:r>
    </w:p>
    <w:p>
      <w:pPr>
        <w:pStyle w:val="null3"/>
      </w:pPr>
      <w:r>
        <w:rPr>
          <w:rFonts w:ascii="仿宋_GB2312" w:hAnsi="仿宋_GB2312" w:cs="仿宋_GB2312" w:eastAsia="仿宋_GB2312"/>
        </w:rPr>
        <w:t>2、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pPr>
        <w:pStyle w:val="null3"/>
      </w:pPr>
      <w:r>
        <w:rPr>
          <w:rFonts w:ascii="仿宋_GB2312" w:hAnsi="仿宋_GB2312" w:cs="仿宋_GB2312" w:eastAsia="仿宋_GB2312"/>
        </w:rPr>
        <w:t>3、法定代表人身份证明或授权委托：法定代表人直接参加投标的，出具法定代表人身份证；委托授权代表参加投标的，提供法定代表人授权委托书及授权代表身份证。</w:t>
      </w:r>
    </w:p>
    <w:p>
      <w:pPr>
        <w:pStyle w:val="null3"/>
      </w:pPr>
      <w:r>
        <w:rPr>
          <w:rFonts w:ascii="仿宋_GB2312" w:hAnsi="仿宋_GB2312" w:cs="仿宋_GB2312" w:eastAsia="仿宋_GB2312"/>
        </w:rPr>
        <w:t>4、医疗器械生产经营许可：投标人为生产企业的，提供投标产品有效的医疗器械生产许可证、同时提供投标产品对应的医疗器械注册证（医疗器械备案凭证）； 投标人为经销商 / 代理商的，提供投标人自身有效的医疗器械经营许可证，同时提供投标产品对应的医疗器械注册证（医疗器械备案凭证）。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汉中市传染病医院（汉中市第二人民医院）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汉中市汉台区南团结街中段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18740561585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陕西省汉中市汉台区盛世国际商业广场2号写字楼11楼1109</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18691696520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开户名称：正大鹏安建设项目管理有限公司</w:t>
            </w:r>
          </w:p>
          <w:p>
            <w:pPr>
              <w:pStyle w:val="null3"/>
            </w:pPr>
            <w:r>
              <w:rPr>
                <w:rFonts w:ascii="仿宋_GB2312" w:hAnsi="仿宋_GB2312" w:cs="仿宋_GB2312" w:eastAsia="仿宋_GB2312"/>
              </w:rPr>
              <w:t>开户银行：中国建设银行西安金花路支行</w:t>
            </w:r>
          </w:p>
          <w:p>
            <w:pPr>
              <w:pStyle w:val="null3"/>
            </w:pPr>
            <w:r>
              <w:rPr>
                <w:rFonts w:ascii="仿宋_GB2312" w:hAnsi="仿宋_GB2312" w:cs="仿宋_GB2312" w:eastAsia="仿宋_GB2312"/>
              </w:rPr>
              <w:t>银行账号：61050186540000000221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说明：中标（成交）供应商须于采购合同签订之日起 5 个工作日内，将履约保证金缴纳至采购人账户；选择保函 / 保险方式提交履约保证金的，应在上述期限内将有效保函或履约保证保险原件递交采购人。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 号文）</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汉中市传染病医院（汉中市第二人民医院）</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汉中市传染病医院（汉中市第二人民医院）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汉中市传染病医院（汉中市第二人民医院）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乙方所提供医疗设备硬件、配套操作软件、固件、程序、技术文档、商标、专利、著作权等全部知识产权，知识产权所有权归制造商 / 乙方所有。 甲方支付合同价款后，获得永久、非独占、不可转让、仅限本医疗机构使用的合法使用权。 甲方仅可在合同约定范围内使用设备及内置软件；未经乙方及权利人书面许可，不得反向工程、反编译、复制、修改、出租、转让、许可第三方使用系统软件、固件。设备实体（硬件整机及相关附属设备）所有权自最终验收合格、交付甲方后转移至甲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1.本项目履约验收分为商务履约验收、技术履约验收，两项验收均合格方可认定整体验收合格。 2.商务验收标准：供应商严格全面履约，无违规违约、私自变更、降配减量行为；固定总价履约，无额外收费，票据合规；履约保证金缴纳规范；设备全新原装、交付流程合规；无知识产权侵权及数据安全问题；质保售后、培训资料移交等全部商务承诺落实到位。 3.技术验收标准：设备相关资质证照、技术资料齐全有效；实物配置与采购要求一致，外观完好无瑕疵；安装调试规范、系统对接正常；全部功能及核心技术参数实测达标；强制计量设备检定合格；操作人员培训到位；试运行期间设备运行稳定，临床使用及数据输出正常，全部技术指标满足合同及国家行业标准。 4.验收存在轻微瑕疵的，供应商须限期整改复验；存在实质性质量、履约问题或整改后仍不达标的，判定验收不合格，甲方有权暂缓付款、追究违约责任、不予退还履约保证金。 5.项目全部履约内容达标、资料归档齐全、无遗留问题，双方签署最终验收报告后，认定履约验收合格，设备正式交付使用并起算质保期。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联系人：张天鹏</w:t>
      </w:r>
    </w:p>
    <w:p>
      <w:pPr>
        <w:pStyle w:val="null3"/>
      </w:pPr>
      <w:r>
        <w:rPr>
          <w:rFonts w:ascii="仿宋_GB2312" w:hAnsi="仿宋_GB2312" w:cs="仿宋_GB2312" w:eastAsia="仿宋_GB2312"/>
        </w:rPr>
        <w:t>联系电话：18691696520</w:t>
      </w:r>
    </w:p>
    <w:p>
      <w:pPr>
        <w:pStyle w:val="null3"/>
      </w:pPr>
      <w:r>
        <w:rPr>
          <w:rFonts w:ascii="仿宋_GB2312" w:hAnsi="仿宋_GB2312" w:cs="仿宋_GB2312" w:eastAsia="仿宋_GB2312"/>
        </w:rPr>
        <w:t>地址：陕西省汉中市汉台区盛世国际商业广场2号写字楼11楼1109</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1.5T医用磁共振成像系统，为满足设备与现场场地适配要求，投标人负责完成现有机房改造装修、设备独立地线安装、机房屏蔽防护施工及设备验收等全部相关工作，涵盖范围内所有材料、施工、调试、检测等配套事项，本项目实行交钥匙工程，验收合格后交付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5,850,000.00</w:t>
      </w:r>
    </w:p>
    <w:p>
      <w:pPr>
        <w:pStyle w:val="null3"/>
      </w:pPr>
      <w:r>
        <w:rPr>
          <w:rFonts w:ascii="仿宋_GB2312" w:hAnsi="仿宋_GB2312" w:cs="仿宋_GB2312" w:eastAsia="仿宋_GB2312"/>
        </w:rPr>
        <w:t>采购包最高限价（元）: 5,850,000.00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1.5核磁共振仪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标的名称：1.5核磁共振仪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92"/>
              <w:gridCol w:w="1148"/>
              <w:gridCol w:w="1106"/>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技术参数名称</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指标要求</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总体要求</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总体要求</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为满足设备与现场场地适配要求，投标人负责完成现有机房改造装修、设备独立地线安装、机房屏蔽防护施工及设备验收等全部相关工作，涵盖范围内所有材料、施工、调试、检测等配套事项，本项目实行交钥匙工程，验收合格后交付使用。</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一、磁体系统</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场强种类</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≥1.5T 超导磁体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磁场稳定度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0.1ppm/h</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磁场均匀度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10cmDSV≤ 0.002ppm（V-RMS）</w:t>
                  </w:r>
                </w:p>
              </w:tc>
            </w:tr>
            <w:tr>
              <w:tc>
                <w:tcPr>
                  <w:tcW w:type="dxa" w:w="292"/>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20cmDSV≤ 0.009ppm（V-RMS）</w:t>
                  </w:r>
                </w:p>
              </w:tc>
            </w:tr>
            <w:tr>
              <w:tc>
                <w:tcPr>
                  <w:tcW w:type="dxa" w:w="292"/>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30cmDSV≤0.04ppm（V-RMS）</w:t>
                  </w:r>
                </w:p>
              </w:tc>
            </w:tr>
            <w:tr>
              <w:tc>
                <w:tcPr>
                  <w:tcW w:type="dxa" w:w="292"/>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40cmDSV≤0.3ppm（V-RMS）</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匀场方式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主动匀场＋被动匀场</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磁体重量</w:t>
                  </w:r>
                  <w:r>
                    <w:rPr>
                      <w:rFonts w:ascii="仿宋_GB2312" w:hAnsi="仿宋_GB2312" w:cs="仿宋_GB2312" w:eastAsia="仿宋_GB2312"/>
                      <w:sz w:val="20"/>
                      <w:color w:val="000000"/>
                    </w:rPr>
                    <w:t>(包括液氦)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≤4100KG（含液氦和冷头）</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磁体长度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≤160cm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病人检查通道最窄孔径</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60cm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液氦消耗率</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0.01L/年（零液氦挥发）</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二、梯度系统</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全数字梯度</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最高单轴梯度场强</w:t>
                  </w:r>
                  <w:r>
                    <w:rPr>
                      <w:rFonts w:ascii="仿宋_GB2312" w:hAnsi="仿宋_GB2312" w:cs="仿宋_GB2312" w:eastAsia="仿宋_GB2312"/>
                      <w:sz w:val="20"/>
                      <w:color w:val="000000"/>
                    </w:rPr>
                    <w:t>( 单轴值,三轴同时使用情况下 )</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33mT/m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最高单轴梯度切换率</w:t>
                  </w:r>
                  <w:r>
                    <w:rPr>
                      <w:rFonts w:ascii="仿宋_GB2312" w:hAnsi="仿宋_GB2312" w:cs="仿宋_GB2312" w:eastAsia="仿宋_GB2312"/>
                      <w:sz w:val="20"/>
                      <w:color w:val="000000"/>
                    </w:rPr>
                    <w:t>( 单轴值,三轴同时使用情况下 )</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128T/m/s</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X,Y,Z 三轴最大 FOV 相同</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冷却方式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水冷</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梯度降噪技术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梯度控制技术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全数字</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三、射频系统</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射频发射功率</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≥18kw</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传输方式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全数字光纤传输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独立射频接收通道数</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24</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射频发射带宽</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≥1MHZ</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最大射频接收带宽</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≥1MHz</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并行采集技术平台</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体部多功能正交线圈</w:t>
                  </w:r>
                  <w:r>
                    <w:rPr>
                      <w:rFonts w:ascii="仿宋_GB2312" w:hAnsi="仿宋_GB2312" w:cs="仿宋_GB2312" w:eastAsia="仿宋_GB2312"/>
                      <w:sz w:val="20"/>
                      <w:color w:val="000000"/>
                    </w:rPr>
                    <w:t>(T/R Body)</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原厂头颈联合相控阵线圈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≥16通道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原厂脊柱相控阵线圈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≥21通道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原厂大号体部相控阵线圈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≥12通道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原厂多功能柔性线圈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≥8通道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乳腺相控阵线圈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≥8通道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支持多线圈自由组合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所有线圈均有前置放大器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线圈敏感性校准技术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四、病人检查环境</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检查床最大承重</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200KG</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检查床最低位置</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50cm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扫描床移动范围</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200cm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扫描床定位精度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0.5mm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通风、照明、双向通话</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照明可调</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通风可调</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检查床最快水平移动速度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≥200mm/s</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检查床长度</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≥2600mm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患者专用紧急报警装置</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磁体间显示屏生理信号显示</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磁体间显示屏显示患者信息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磁体间直接启动扫描功能</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磁体间显示屏显示线圈的连接状态</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磁体间显示设备运行状态</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操作间实时监控查看系统硬件情况</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操作间可以实现磁共振系统硬件一键开关机</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五、计算机系统</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CPU</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基础主频率</w:t>
                  </w:r>
                  <w:r>
                    <w:rPr>
                      <w:rFonts w:ascii="仿宋_GB2312" w:hAnsi="仿宋_GB2312" w:cs="仿宋_GB2312" w:eastAsia="仿宋_GB2312"/>
                      <w:sz w:val="20"/>
                      <w:color w:val="000000"/>
                    </w:rPr>
                    <w:t>≥ 2.3GHz (四核)</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运行内存</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≥64G</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硬盘容量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≥1TB</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图像存储量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1000,000 幅图像 (256×256 矩阵 , 未压缩 )</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图像重建速度</w:t>
                  </w:r>
                  <w:r>
                    <w:rPr>
                      <w:rFonts w:ascii="仿宋_GB2312" w:hAnsi="仿宋_GB2312" w:cs="仿宋_GB2312" w:eastAsia="仿宋_GB2312"/>
                      <w:sz w:val="20"/>
                      <w:color w:val="000000"/>
                    </w:rPr>
                    <w:t>( 幅 / 秒 )(256×256 矩阵全 FOV)</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10000 幅 / 秒</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显示器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≥24寸彩色医用液晶显示器</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六、后处理接口</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软件控制照相技术</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DICOM 3.0 接口及与 PACS 网络连接</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具备并负责接入</w:t>
                  </w:r>
                  <w:r>
                    <w:rPr>
                      <w:rFonts w:ascii="仿宋_GB2312" w:hAnsi="仿宋_GB2312" w:cs="仿宋_GB2312" w:eastAsia="仿宋_GB2312"/>
                      <w:sz w:val="20"/>
                      <w:color w:val="000000"/>
                    </w:rPr>
                    <w:t>PACS系统，包括打印、传输、接收、查询等功能</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标准激光相机数字接口</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七、扫描参数</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XYZ轴最大FOV相同</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最大采集矩阵</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≥1024×1024</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最小扫描视野</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0.50 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2D 最薄扫描层厚</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0.1 mm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3D 最薄扫描层厚</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0.05 mm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TSE 序列最大回波链</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256</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最大扫描视野</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≥50cm</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最大弥散加权</w:t>
                  </w:r>
                  <w:r>
                    <w:rPr>
                      <w:rFonts w:ascii="仿宋_GB2312" w:hAnsi="仿宋_GB2312" w:cs="仿宋_GB2312" w:eastAsia="仿宋_GB2312"/>
                      <w:sz w:val="20"/>
                      <w:color w:val="000000"/>
                    </w:rPr>
                    <w:t>B值</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≥10000</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八、扫描技术与序列</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基础成像序列包含：</w:t>
                  </w:r>
                  <w:r>
                    <w:rPr>
                      <w:rFonts w:ascii="仿宋_GB2312" w:hAnsi="仿宋_GB2312" w:cs="仿宋_GB2312" w:eastAsia="仿宋_GB2312"/>
                      <w:sz w:val="20"/>
                      <w:color w:val="000000"/>
                    </w:rPr>
                    <w:t>SE序列、FSE序列、GRE序列、EPI序列、DWI序列、SWI序列、MRA序列、MRCP序列、MRU序列、MRS序列</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自旋回波序列</w:t>
                  </w:r>
                  <w:r>
                    <w:rPr>
                      <w:rFonts w:ascii="仿宋_GB2312" w:hAnsi="仿宋_GB2312" w:cs="仿宋_GB2312" w:eastAsia="仿宋_GB2312"/>
                      <w:sz w:val="20"/>
                      <w:color w:val="000000"/>
                    </w:rPr>
                    <w:t>(SE)</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2D/3D快速自旋回波序列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单回波双回波多回波技术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单次激发快速自旋回波序列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脂肪抑制序列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水抑制序列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可选择角度的自旋回波</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反转恢复序列（</w:t>
                  </w:r>
                  <w:r>
                    <w:rPr>
                      <w:rFonts w:ascii="仿宋_GB2312" w:hAnsi="仿宋_GB2312" w:cs="仿宋_GB2312" w:eastAsia="仿宋_GB2312"/>
                      <w:sz w:val="20"/>
                      <w:color w:val="000000"/>
                    </w:rPr>
                    <w:t>IR）</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快速自由水抑制序列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快速反转恢复序列</w:t>
                  </w:r>
                  <w:r>
                    <w:rPr>
                      <w:rFonts w:ascii="仿宋_GB2312" w:hAnsi="仿宋_GB2312" w:cs="仿宋_GB2312" w:eastAsia="仿宋_GB2312"/>
                      <w:sz w:val="20"/>
                      <w:color w:val="000000"/>
                    </w:rPr>
                    <w:t>( 脂肪 , 水抑制 )</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单独灰质或白质成像技术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梯度回波序列</w:t>
                  </w:r>
                  <w:r>
                    <w:rPr>
                      <w:rFonts w:ascii="仿宋_GB2312" w:hAnsi="仿宋_GB2312" w:cs="仿宋_GB2312" w:eastAsia="仿宋_GB2312"/>
                      <w:sz w:val="20"/>
                      <w:color w:val="000000"/>
                    </w:rPr>
                    <w:t>(2D/3D)</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2D/3D平衡式梯度回波序列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重</w:t>
                  </w:r>
                  <w:r>
                    <w:rPr>
                      <w:rFonts w:ascii="仿宋_GB2312" w:hAnsi="仿宋_GB2312" w:cs="仿宋_GB2312" w:eastAsia="仿宋_GB2312"/>
                      <w:sz w:val="20"/>
                      <w:color w:val="000000"/>
                    </w:rPr>
                    <w:t>T2加权高对比序列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超快速场梯度回波序列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任意序列的动态采集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匙孔成像技术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三维成像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多块三维</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多叠三维</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智能化</w:t>
                  </w:r>
                  <w:r>
                    <w:rPr>
                      <w:rFonts w:ascii="仿宋_GB2312" w:hAnsi="仿宋_GB2312" w:cs="仿宋_GB2312" w:eastAsia="仿宋_GB2312"/>
                      <w:sz w:val="20"/>
                      <w:color w:val="000000"/>
                    </w:rPr>
                    <w:t>K 空间快门成像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磁化转移对比</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单次激发</w:t>
                  </w:r>
                  <w:r>
                    <w:rPr>
                      <w:rFonts w:ascii="仿宋_GB2312" w:hAnsi="仿宋_GB2312" w:cs="仿宋_GB2312" w:eastAsia="仿宋_GB2312"/>
                      <w:sz w:val="20"/>
                      <w:color w:val="000000"/>
                    </w:rPr>
                    <w:t>EPI 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多次激发</w:t>
                  </w:r>
                  <w:r>
                    <w:rPr>
                      <w:rFonts w:ascii="仿宋_GB2312" w:hAnsi="仿宋_GB2312" w:cs="仿宋_GB2312" w:eastAsia="仿宋_GB2312"/>
                      <w:sz w:val="20"/>
                      <w:color w:val="000000"/>
                    </w:rPr>
                    <w:t>EPI 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自旋回波</w:t>
                  </w:r>
                  <w:r>
                    <w:rPr>
                      <w:rFonts w:ascii="仿宋_GB2312" w:hAnsi="仿宋_GB2312" w:cs="仿宋_GB2312" w:eastAsia="仿宋_GB2312"/>
                      <w:sz w:val="20"/>
                      <w:color w:val="000000"/>
                    </w:rPr>
                    <w:t>EPI</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梯度回波</w:t>
                  </w:r>
                  <w:r>
                    <w:rPr>
                      <w:rFonts w:ascii="仿宋_GB2312" w:hAnsi="仿宋_GB2312" w:cs="仿宋_GB2312" w:eastAsia="仿宋_GB2312"/>
                      <w:sz w:val="20"/>
                      <w:color w:val="000000"/>
                    </w:rPr>
                    <w:t>EPI</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反转</w:t>
                  </w:r>
                  <w:r>
                    <w:rPr>
                      <w:rFonts w:ascii="仿宋_GB2312" w:hAnsi="仿宋_GB2312" w:cs="仿宋_GB2312" w:eastAsia="仿宋_GB2312"/>
                      <w:sz w:val="20"/>
                      <w:color w:val="000000"/>
                    </w:rPr>
                    <w:t>EPI</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高分辨</w:t>
                  </w:r>
                  <w:r>
                    <w:rPr>
                      <w:rFonts w:ascii="仿宋_GB2312" w:hAnsi="仿宋_GB2312" w:cs="仿宋_GB2312" w:eastAsia="仿宋_GB2312"/>
                      <w:sz w:val="20"/>
                      <w:color w:val="000000"/>
                    </w:rPr>
                    <w:t>EPI 采集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流入法血管造影</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快速流入法血管造影</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无需造影剂增强即可显示动脉的</w:t>
                  </w:r>
                  <w:r>
                    <w:rPr>
                      <w:rFonts w:ascii="仿宋_GB2312" w:hAnsi="仿宋_GB2312" w:cs="仿宋_GB2312" w:eastAsia="仿宋_GB2312"/>
                      <w:sz w:val="20"/>
                      <w:color w:val="000000"/>
                    </w:rPr>
                    <w:t>MRA 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具备，注明名称</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造影剂增强</w:t>
                  </w:r>
                  <w:r>
                    <w:rPr>
                      <w:rFonts w:ascii="仿宋_GB2312" w:hAnsi="仿宋_GB2312" w:cs="仿宋_GB2312" w:eastAsia="仿宋_GB2312"/>
                      <w:sz w:val="20"/>
                      <w:color w:val="000000"/>
                    </w:rPr>
                    <w:t>MRA</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倾角优化非饱和激发技术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2D/2D时飞发技术（TOF）</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2D/3D相位对比血管造影 PC</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快速相位对比血管造影</w:t>
                  </w:r>
                  <w:r>
                    <w:rPr>
                      <w:rFonts w:ascii="仿宋_GB2312" w:hAnsi="仿宋_GB2312" w:cs="仿宋_GB2312" w:eastAsia="仿宋_GB2312"/>
                      <w:sz w:val="20"/>
                      <w:color w:val="000000"/>
                    </w:rPr>
                    <w:t>, 可以结合并行采集技术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伪影消除技术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5 个，注明名称</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节时技术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列出</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神经系统成像技术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自动移床全脊柱成像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脊髓成像、神经根成像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脑脊液抑制技术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脂肪抑制</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灰</w:t>
                  </w:r>
                  <w:r>
                    <w:rPr>
                      <w:rFonts w:ascii="仿宋_GB2312" w:hAnsi="仿宋_GB2312" w:cs="仿宋_GB2312" w:eastAsia="仿宋_GB2312"/>
                      <w:sz w:val="20"/>
                      <w:color w:val="000000"/>
                    </w:rPr>
                    <w:t>,白质最佳显示成像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一次扫描完成三弥散方向采集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不打药全脑灌注成像技术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高分辨解剖成像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高分辨内耳三维成像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弥散成像技术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实时弥散技术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全身各部位弥散成像（包括但不限于头颅弥散成像、腹部弥散成像、前列腺弥散成像、子宫附件弥散成像）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ADC成像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ADC值测量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自动生成</w:t>
                  </w:r>
                  <w:r>
                    <w:rPr>
                      <w:rFonts w:ascii="仿宋_GB2312" w:hAnsi="仿宋_GB2312" w:cs="仿宋_GB2312" w:eastAsia="仿宋_GB2312"/>
                      <w:sz w:val="20"/>
                      <w:color w:val="000000"/>
                    </w:rPr>
                    <w:t>ADC图</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多</w:t>
                  </w:r>
                  <w:r>
                    <w:rPr>
                      <w:rFonts w:ascii="仿宋_GB2312" w:hAnsi="仿宋_GB2312" w:cs="仿宋_GB2312" w:eastAsia="仿宋_GB2312"/>
                      <w:sz w:val="20"/>
                      <w:color w:val="000000"/>
                    </w:rPr>
                    <w:t>b值成像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MRS 频谱成像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心血管成像技术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高分辨肝脏动态增强成像技术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全身弥散成像技术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全身类</w:t>
                  </w:r>
                  <w:r>
                    <w:rPr>
                      <w:rFonts w:ascii="仿宋_GB2312" w:hAnsi="仿宋_GB2312" w:cs="仿宋_GB2312" w:eastAsia="仿宋_GB2312"/>
                      <w:sz w:val="20"/>
                      <w:color w:val="000000"/>
                    </w:rPr>
                    <w:t>PET成像技术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利用内置一体化线圈一次进床全身成像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并行采集最大加速因子</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并行采集技术成像可与现有任何快速成像技术合并使用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并行采集技术成像可与稳态自由进动序列合并使用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并行采集技术成像可与</w:t>
                  </w:r>
                  <w:r>
                    <w:rPr>
                      <w:rFonts w:ascii="仿宋_GB2312" w:hAnsi="仿宋_GB2312" w:cs="仿宋_GB2312" w:eastAsia="仿宋_GB2312"/>
                      <w:sz w:val="20"/>
                      <w:color w:val="000000"/>
                    </w:rPr>
                    <w:t>3DPCA 血管成像技术结合使用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并行采集实时重建技术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智能化造影剂跟踪透视增强血管造影成像技术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智能化下肢血管移床造影剂跟踪技术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图像亮度均一化自动调节及校正技术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w:t>
                  </w:r>
                  <w:r>
                    <w:rPr>
                      <w:rFonts w:ascii="仿宋_GB2312" w:hAnsi="仿宋_GB2312" w:cs="仿宋_GB2312" w:eastAsia="仿宋_GB2312"/>
                      <w:sz w:val="20"/>
                      <w:color w:val="000000"/>
                    </w:rPr>
                    <w:t>/噪指示器</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呼吸门控技术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心电门控技术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高级临床应用软件包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神经系统成像软件包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体部系统成像软件包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骨关节成像软件包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乳腺成像软件包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肿瘤成像软件包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血管成像软件包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心脏成像软件包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九、后处理功能</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波谱后处理功能</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ADC高级后处理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动态分析</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乳腺动态增强扫描</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纤维束追踪</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5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十、其他</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远程诊断功能</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整机保修期（含精密空调机水冷系统）</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≥2年</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水冷系统</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磁共振专用高压注射器</w:t>
                  </w:r>
                  <w:r>
                    <w:rPr>
                      <w:rFonts w:ascii="仿宋_GB2312" w:hAnsi="仿宋_GB2312" w:cs="仿宋_GB2312" w:eastAsia="仿宋_GB2312"/>
                      <w:sz w:val="20"/>
                      <w:color w:val="000000"/>
                    </w:rPr>
                    <w:t>1套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通道配置：三通道</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核磁机房专用精密空调系统</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操作间电脑桌</w:t>
                  </w:r>
                  <w:r>
                    <w:rPr>
                      <w:rFonts w:ascii="仿宋_GB2312" w:hAnsi="仿宋_GB2312" w:cs="仿宋_GB2312" w:eastAsia="仿宋_GB2312"/>
                      <w:sz w:val="20"/>
                      <w:color w:val="000000"/>
                    </w:rPr>
                    <w:t>､</w:t>
                  </w:r>
                  <w:r>
                    <w:rPr>
                      <w:rFonts w:ascii="仿宋_GB2312" w:hAnsi="仿宋_GB2312" w:cs="仿宋_GB2312" w:eastAsia="仿宋_GB2312"/>
                      <w:sz w:val="20"/>
                      <w:color w:val="000000"/>
                    </w:rPr>
                    <w:t>椅</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机房进入通道金属探测安全门</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磁共振机房专用紫外线消毒设备</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无磁转运床</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无磁转运轮椅</w:t>
                  </w:r>
                  <w:r>
                    <w:rPr>
                      <w:rFonts w:ascii="仿宋_GB2312" w:hAnsi="仿宋_GB2312" w:cs="仿宋_GB2312" w:eastAsia="仿宋_GB2312"/>
                      <w:sz w:val="20"/>
                      <w:color w:val="000000"/>
                    </w:rPr>
                    <w:t>1 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机房实时视频监控设备</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诊断工作站</w:t>
                  </w:r>
                  <w:r>
                    <w:rPr>
                      <w:rFonts w:ascii="仿宋_GB2312" w:hAnsi="仿宋_GB2312" w:cs="仿宋_GB2312" w:eastAsia="仿宋_GB2312"/>
                      <w:sz w:val="20"/>
                      <w:color w:val="000000"/>
                    </w:rPr>
                    <w:t>2套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主机要求为品牌商用电脑或服务器电脑，</w:t>
                  </w:r>
                  <w:r>
                    <w:rPr>
                      <w:rFonts w:ascii="仿宋_GB2312" w:hAnsi="仿宋_GB2312" w:cs="仿宋_GB2312" w:eastAsia="仿宋_GB2312"/>
                      <w:sz w:val="20"/>
                      <w:color w:val="000000"/>
                    </w:rPr>
                    <w:t>CPU:Intel酷睿 Ultra7或AMDR9以上，运行内存≥16G，SSD硬盘≥1T，独立显卡为RTX50及以上产品。显示器≥24寸，医用显示器≥4M。预装正版Windows专业版软件，不需要提供诊断报告软件。</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技术培训</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设备安装完毕提供免费的操作培训、应用培训、维护培训，培训人数</w:t>
                  </w:r>
                  <w:r>
                    <w:rPr>
                      <w:rFonts w:ascii="仿宋_GB2312" w:hAnsi="仿宋_GB2312" w:cs="仿宋_GB2312" w:eastAsia="仿宋_GB2312"/>
                      <w:sz w:val="20"/>
                      <w:color w:val="000000"/>
                    </w:rPr>
                    <w:t>≥5人，培训时长≥5工作日；服务合同期间提供至少每年1次高级临床应用培训，培训人次≥2人，培训时长≥2天，培训地点可选择医院现场或厂家培训中心</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防磁降噪耳机</w:t>
                  </w:r>
                  <w:r>
                    <w:rPr>
                      <w:rFonts w:ascii="仿宋_GB2312" w:hAnsi="仿宋_GB2312" w:cs="仿宋_GB2312" w:eastAsia="仿宋_GB2312"/>
                      <w:sz w:val="20"/>
                      <w:color w:val="000000"/>
                    </w:rPr>
                    <w:t>≥2套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UPS（不间断电源）1套</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≥1.5KW，在线式，后备时间大于等于10分钟</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合同签订生效之日起60个日历天内，中标供应商须完成全部设备供货、运输、卸货、现场就位、安装、布线、调试、系统对接、设备自检、现场培训等全部工作内容，使设备达到初步验收合格、正常投入使用的标准，并配合采购人完成初步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采购人指定地点，汉中市传染病医院（汉中市第二人民医院）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预付款，合同生效，且乙方按约定提交履约保证金（或履约保函）、提供等额合法有效发票后，达到付款条件起7个工作日内，支付合同总金额的20.0%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进度款，项目主要工作完成/设备到货安装调试完成，乙方提交进度完成证明材料、对应金额发票，达到付款条件起7个工作日内，支付合同总金额的50.0%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进度款，项目全部实施完毕，通过甲方组织最终竣工验收，乙方移交全部资料、提供剩余款项发票，质保起算节点确认后，达到付款条件起7个工作日内，支付合同总金额的30.0%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乙方所供设备为全新原装正品，各项功能、技术参数满足技术协议全部要求；设备证照合法有效，资料齐全；电气安全、机械防护、辐射安全（如有）符合国家规范；试运行期间无持续性自身质量故障。验收方法：采用资料审查、实物清点、通电功能测试、参数实测、模拟临床运行测试相结合方式开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整机免费保修期自最终验收合格之日起计算，整机免费保修期为不少于2年。若厂家原厂标准质保长于本约定，按厂家最高质保标准执行。保修期内，因设备自身制造缺陷、原材料缺陷、原厂设计缺陷引发的故障，乙方提供免费维修、免费更换原厂全新零部件，免收人工费、差旅费、配件费、上门服务费；包含：设备主机、配套组件、配套硬件、系统软件、配套应用软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1.乙方逾期完成供货、安装调试的，每逾期一日按合同总金额 0.03% 支付违约金；逾期超过 15 日，甲方有权单方解除合同，乙方退还甲方全部已付款项，甲方有权没收履约保证金。 2.乙方所供设备型号、参数、质量不符合合同约定，甲方有权要求乙方限期更换整改，整改期间计收逾期违约金；整改仍不合格，甲方可拒收、解除合同，并赔偿甲方全部损失。因设备质量问题引发医疗纠纷、第三方索赔，全部责任由乙方承担。 3.乙方供货存在知识产权侵权、质保期内不履行售后服务义务的，甲方有权暂缓支付款项、委托第三方维修，相关费用由乙方承担，并追究乙方违约责任。 4.甲方无正当理由逾期支付款项，每逾期一日按应付未付金额 0.03% 向乙方支付违约金。 5.甲方有权将乙方应付违约金、赔偿金直接在待付款项或履约保证金中抵扣。 6.合同履行发生争议，双方先行协商；协商不成，向甲方所在地有管辖权的人民法院提起诉讼。争议处理期间，合同其他条款继续履行。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经营主体</w:t>
            </w:r>
          </w:p>
        </w:tc>
        <w:tc>
          <w:tcPr>
            <w:tcW w:type="dxa" w:w="3322"/>
          </w:tcPr>
          <w:p>
            <w:pPr>
              <w:pStyle w:val="null3"/>
            </w:pPr>
            <w:r>
              <w:rPr>
                <w:rFonts w:ascii="仿宋_GB2312" w:hAnsi="仿宋_GB2312" w:cs="仿宋_GB2312" w:eastAsia="仿宋_GB2312"/>
              </w:rPr>
              <w:t>具有独立承担民事责任能力的法人或其他组织，提供有效营业执照或事业单位法人证书等国家规定的相关证明，自然人参与的提供其身份证明；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w:t>
            </w:r>
          </w:p>
        </w:tc>
        <w:tc>
          <w:tcPr>
            <w:tcW w:type="dxa" w:w="3322"/>
          </w:tcPr>
          <w:p>
            <w:pPr>
              <w:pStyle w:val="null3"/>
            </w:pPr>
            <w:r>
              <w:rPr>
                <w:rFonts w:ascii="仿宋_GB2312" w:hAnsi="仿宋_GB2312" w:cs="仿宋_GB2312" w:eastAsia="仿宋_GB2312"/>
              </w:rPr>
              <w:t>法定代表人直接参加投标的，出具法定代表人身份证；委托授权代表参加投标的，提供法定代表人授权委托书及授权代表身份证。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医疗器械生产经营许可</w:t>
            </w:r>
          </w:p>
        </w:tc>
        <w:tc>
          <w:tcPr>
            <w:tcW w:type="dxa" w:w="3322"/>
          </w:tcPr>
          <w:p>
            <w:pPr>
              <w:pStyle w:val="null3"/>
            </w:pPr>
            <w:r>
              <w:rPr>
                <w:rFonts w:ascii="仿宋_GB2312" w:hAnsi="仿宋_GB2312" w:cs="仿宋_GB2312" w:eastAsia="仿宋_GB2312"/>
              </w:rPr>
              <w:t>投标人为生产企业的，提供投标产品有效的医疗器械生产许可证、同时提供投标产品对应的医疗器械注册证（医疗器械备案凭证）； 投标人为经销商 / 代理商的，提供投标人自身有效的医疗器械经营许可证，同时提供投标产品对应的医疗器械注册证（医疗器械备案凭证）。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招标文件中实质性条款和标注★的技术参数，投标人须全部满足。</w:t>
            </w:r>
          </w:p>
        </w:tc>
        <w:tc>
          <w:tcPr>
            <w:tcW w:type="dxa" w:w="1661"/>
          </w:tcPr>
          <w:p>
            <w:pPr>
              <w:pStyle w:val="null3"/>
            </w:pPr>
            <w:r>
              <w:rPr>
                <w:rFonts w:ascii="仿宋_GB2312" w:hAnsi="仿宋_GB2312" w:cs="仿宋_GB2312" w:eastAsia="仿宋_GB2312"/>
              </w:rPr>
              <w:t>开标一览表 投标方案.docx 产品技术参数表 投标函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1.设备供货、安装、检测、调试专项方案：制定供货组织统筹方案、现场标准化安装实施方案、设备专业检测方案、整机调试方案。 2.项目实施步骤、进度计划及进度保障措施：项目全流程实施步骤，划分进场准备、设备安装、检测调试、整改复核、验收移交等阶段；制定科学合理的阶段性进度计划、整体工期计划；配套人员、物资、协调、工期管控等进度保障措施，保障项目按期完工。 3.安全控制方案及质量控制措施：制定专项安全控制方案，包含院区施工防火、防触电、防诊疗干扰、医患安全防护、施工区域隔离管控等安全举措；建立专项质量控制体系，围绕设备安装精度、参数标准、设备稳定性、清洁施工、软硬件匹配性等关键要点，制定全过程质量管控、自检复核、问题整改措施，符合行业质量规范。 4.验收方案：涵盖到货验收、安装工序验收、精度检测验收、整机功能验收、临床适配验收等环节；明确验收标准、验收项目、核验参数、验收流程、验收资料审核、不合格项整改复检，符合医院设备入库、投入临床使用的验收要求。 5.培训方案：按照招标文件要求制定医院操作人员、设备运维人员等相关人员培训方案，明确培训对象、培训课时、培训内容、培训方式、考核标准；培训内容涵盖设备基础原理、规范操作流程、日常运维保养、简易故障排查、医用参数校准、安全操作等核心内容，保障院方人员熟练操作使用设备。 评审依据：本项满分 10分，每存在 1 项缺项扣 2 分，每存在 1 项内容缺陷扣 0.5 分，分值扣完为止。 内容缺陷认定标准（满足下列任一情形，即判定为内容存在缺陷）： 1. 内容完整性不足：内容表述不完整、关键指标、核心要点缺失，仅作表层简单描述，缺乏方案论证、技术路径、实施举措等实质性内容； 2. 针对性不足：内容未结合本项目建设需求与项目特征编制，通用性模板化表述严重，直接照搬套用其他项目方案，内容与本项目不适用、不匹配； 3. 前后逻辑冲突：同一技术要求、实施思路、参数指标等同一事项前后文字表述不一致、相互矛盾； 4. 科学性与常识问题：存在逻辑漏洞、技术路线矛盾、违背基础科学原理、行业通用规范及常识性错误； 5. 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具备履约管理体系，拥有标准化项目全流程管控制度。2.组建专职项目实施团队，配齐项目负责人、现场实施人员、技术对接专员，落实专人专岗，岗位职责清晰、权责划分明确。3.具备供货交付保障机制，建立供货排期、进场协调、安装实施、交付验收、资料移交全流程管理规范，保障项目全周期进度可控、过程可管、记录可追溯。4.具备应急保障处置方案，建立突发问题响应处置与交付风险预警机制，有效防范项目延期、交付标准不达标等履约风险，保障项目按期高质量完成交付与验收。 评审依据：本项满分 5 分，每存在 1 项缺项扣 1.25 分，每存在 1 项内容缺陷扣 0.5 分，分值扣完为止。 内容缺陷认定标准（满足下列任一情形，即判定为内容存在缺陷）： 1. 内容完整性不足：内容表述不完整、关键指标、核心要点缺失，仅作表层简单描述，缺乏方案论证、技术路径、实施举措等实质性内容； 2. 针对性不足：内容未结合本项目建设需求与项目特征编制，通用性模板化表述严重，直接照搬套用其他项目方案，内容与本项目不适用、不匹配； 3. 前后逻辑冲突：同一技术要求、实施思路、参数指标等同一事项前后文字表述不一致、相互矛盾； 4. 科学性与常识问题：存在逻辑漏洞、技术路线矛盾、违背基础科学原理、行业通用规范及常识性错误； 5. 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具备专业售后服务体系，配备售后团队及备品备件储备，具有相应的服务保障能力。2.质保期符合项目基本要求，明确快速远程响应、短时现场上门维修时效。3.提供定期预防性巡检、设备保养、常规质控维护等常态化服务，具备完善的设备停机、故障应急处置预案及备用保障方案。4.质保期满后终身维保方案清晰、收费透明，提供长期技术升级、维修支持服务，全方位保障设备稳定运行。 评审依据：本项满分5分，每存在 1 项缺项扣 1.25分，每存在 1 项内容缺陷扣 0.5 分，分值扣完为止。 内容缺陷认定标准（满足下列任一情形，即判定为内容存在缺陷）： 1. 内容完整性不足：内容表述不完整、关键指标、核心要点缺失，仅作表层简单描述，缺乏方案论证、技术路径、实施举措等实质性内容； 2. 针对性不足：内容未结合本项目建设需求与项目特征编制，通用性模板化表述严重，直接照搬套用其他项目方案，内容与本项目不适用、不匹配； 3. 前后逻辑冲突：同一技术要求、实施思路、参数指标等同一事项前后文字表述不一致、相互矛盾； 4. 科学性与常识问题：存在逻辑漏洞、技术路线矛盾、违背基础科学原理、行业通用规范及常识性错误； 5. 可行性存在重大问题：提出的措施、方案不利于项目总体目标实现；载明的实施条件、技术方案、预期成效在现有技术水平、客观条件下无法落地、不可能实现；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国家认证的节能产品或环境标志产品可得0.5分，本项累计最高得1分。评审依据：提供国家确定的认证机构出具的、且处于有效期内的节能产品、环境标志产品认证证书，无有效认证证书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提供2023年1月1日起至投标截止时间（业绩时间认定以合同签订时间为准）所投品牌同类产品销售业绩，每提供 1 项有效业绩得2分，本项最高4分。评审依据：提供加盖公章的投标人或生产厂家业绩证明材料（供货合同复印件），合同材料至少包含合同首页、货物清单（产品页）、甲乙双方签章页，资料不全不予计分。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投标产品技术指标全部满足或优于招标文件要求的，该项得满分45分。标注▲的技术指标，任意一项不满足的，扣3分，未标注▲的一般技术参数，任意一项不满足的，扣1分，扣完为止。 评审依据：投标人须提供有效佐证材料（包括但不限于国家认可检测机构出具的检测报告、制造商出厂检验报告、产品正式技术规格书、产品手册、公开发布的产品参数彩页、制造商官方网站公开参数截图、制造商加盖公章的技术参数承诺函、原厂正式技术应答函等），用以证明技术参数响应情况。未提供佐证材料，或评审委员会认定所提交材料无法有效佐证参数响应性的，对应参数视为不满足。</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