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版本号：HDZB2026-2120260512002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教育智慧云平台建设项目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HDZB2026-21</w:t>
      </w:r>
      <w:r>
        <w:br/>
      </w:r>
      <w:r>
        <w:br/>
      </w:r>
      <w:r>
        <w:br/>
      </w:r>
    </w:p>
    <w:p>
      <w:pPr>
        <w:pStyle w:val="null3"/>
        <w:jc w:val="center"/>
        <w:outlineLvl w:val="2"/>
      </w:pPr>
      <w:r>
        <w:rPr>
          <w:rFonts w:ascii="仿宋_GB2312" w:hAnsi="仿宋_GB2312" w:cs="仿宋_GB2312" w:eastAsia="仿宋_GB2312"/>
          <w:sz w:val="28"/>
          <w:b/>
        </w:rPr>
        <w:t>宁强县职业高级中学</w:t>
      </w:r>
    </w:p>
    <w:p>
      <w:pPr>
        <w:pStyle w:val="null3"/>
        <w:jc w:val="center"/>
        <w:outlineLvl w:val="2"/>
      </w:pPr>
      <w:r>
        <w:rPr>
          <w:rFonts w:ascii="仿宋_GB2312" w:hAnsi="仿宋_GB2312" w:cs="仿宋_GB2312" w:eastAsia="仿宋_GB2312"/>
          <w:sz w:val="28"/>
          <w:b/>
        </w:rPr>
        <w:t>华地众信工程项目管理有限公司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华地众信工程项目管理有限公司</w:t>
      </w:r>
      <w:r>
        <w:rPr>
          <w:rFonts w:ascii="仿宋_GB2312" w:hAnsi="仿宋_GB2312" w:cs="仿宋_GB2312" w:eastAsia="仿宋_GB2312"/>
        </w:rPr>
        <w:t>（以下简称“代理机构”）受</w:t>
      </w:r>
      <w:r>
        <w:rPr>
          <w:rFonts w:ascii="仿宋_GB2312" w:hAnsi="仿宋_GB2312" w:cs="仿宋_GB2312" w:eastAsia="仿宋_GB2312"/>
        </w:rPr>
        <w:t>宁强县职业高级中学</w:t>
      </w:r>
      <w:r>
        <w:rPr>
          <w:rFonts w:ascii="仿宋_GB2312" w:hAnsi="仿宋_GB2312" w:cs="仿宋_GB2312" w:eastAsia="仿宋_GB2312"/>
        </w:rPr>
        <w:t>委托，拟对</w:t>
      </w:r>
      <w:r>
        <w:rPr>
          <w:rFonts w:ascii="仿宋_GB2312" w:hAnsi="仿宋_GB2312" w:cs="仿宋_GB2312" w:eastAsia="仿宋_GB2312"/>
        </w:rPr>
        <w:t>教育智慧云平台建设项目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HDZB2026-21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教育智慧云平台建设项目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教育智慧云平台建设项目，详见采购文件。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1、提供电子签章的相关证明材料 ：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按要求提供加盖电子签章的相关证明材料：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w:t>
      </w:r>
    </w:p>
    <w:p>
      <w:pPr>
        <w:pStyle w:val="null3"/>
      </w:pPr>
      <w:r>
        <w:rPr>
          <w:rFonts w:ascii="仿宋_GB2312" w:hAnsi="仿宋_GB2312" w:cs="仿宋_GB2312" w:eastAsia="仿宋_GB2312"/>
        </w:rPr>
        <w:t>3、供应商提供加盖电子签章的《汉中市政府采购供应商资格承诺函》（格式后附） ：供应商具有良好的商业信誉和健全的财务会计制度,具有履行合同所必需的设备和专业技术能力，具有依法缴纳税收和社会保障金的良好记录，参加本项目采购活动前三年内无重大违法活动记录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4、提供加盖电子签章的非联合体声明。 ：本项目不接受联合体投标（提供非联合体声明，格式后附）</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宁强县职业高级中学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陕西省宁强县汉源镇羌州路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宁强县职业高级中学经办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18291691119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华地众信工程项目管理有限公司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陕西省西安市阎良区陕西省西安市国家航空高新技术产业基地蓝天5路科创大厦503室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19991618822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开户名称：华地众信工程项目管理有限公司汉中分公司</w:t>
            </w:r>
          </w:p>
          <w:p>
            <w:pPr>
              <w:pStyle w:val="null3"/>
            </w:pPr>
            <w:r>
              <w:rPr>
                <w:rFonts w:ascii="仿宋_GB2312" w:hAnsi="仿宋_GB2312" w:cs="仿宋_GB2312" w:eastAsia="仿宋_GB2312"/>
              </w:rPr>
              <w:t>开户银行：中国工商银行股份有限公司汉中人民路支行</w:t>
            </w:r>
          </w:p>
          <w:p>
            <w:pPr>
              <w:pStyle w:val="null3"/>
            </w:pPr>
            <w:r>
              <w:rPr>
                <w:rFonts w:ascii="仿宋_GB2312" w:hAnsi="仿宋_GB2312" w:cs="仿宋_GB2312" w:eastAsia="仿宋_GB2312"/>
              </w:rPr>
              <w:t>银行账号：2606053609200165188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宁强县职业高级中学</w:t>
      </w:r>
      <w:r>
        <w:rPr>
          <w:rFonts w:ascii="仿宋_GB2312" w:hAnsi="仿宋_GB2312" w:cs="仿宋_GB2312" w:eastAsia="仿宋_GB2312"/>
        </w:rPr>
        <w:t>和</w:t>
      </w:r>
      <w:r>
        <w:rPr>
          <w:rFonts w:ascii="仿宋_GB2312" w:hAnsi="仿宋_GB2312" w:cs="仿宋_GB2312" w:eastAsia="仿宋_GB2312"/>
        </w:rPr>
        <w:t>华地众信工程项目管理有限公司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宁强县职业高级中学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华地众信工程项目管理有限公司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宁强县职业高级中学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华地众信工程项目管理有限公司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达到国家规定合格标准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华地众信工程项目管理有限公司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华地众信工程项目管理有限公司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华地众信工程项目管理有限公司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联系人：陈璐</w:t>
      </w:r>
    </w:p>
    <w:p>
      <w:pPr>
        <w:pStyle w:val="null3"/>
      </w:pPr>
      <w:r>
        <w:rPr>
          <w:rFonts w:ascii="仿宋_GB2312" w:hAnsi="仿宋_GB2312" w:cs="仿宋_GB2312" w:eastAsia="仿宋_GB2312"/>
        </w:rPr>
        <w:t>联系电话：13772849286</w:t>
      </w:r>
    </w:p>
    <w:p>
      <w:pPr>
        <w:pStyle w:val="null3"/>
      </w:pPr>
      <w:r>
        <w:rPr>
          <w:rFonts w:ascii="仿宋_GB2312" w:hAnsi="仿宋_GB2312" w:cs="仿宋_GB2312" w:eastAsia="仿宋_GB2312"/>
        </w:rPr>
        <w:t>地址：陕西省汉中市汉台区供电大道久麟大厦1号楼五楼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教育智慧云平台建设项目，详见采购需求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智慧云平台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标的名称：智慧云平台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811"/>
            </w:pPr>
            <w:r>
              <w:rPr>
                <w:rFonts w:ascii="仿宋_GB2312" w:hAnsi="仿宋_GB2312" w:cs="仿宋_GB2312" w:eastAsia="仿宋_GB2312"/>
                <w:sz w:val="28"/>
                <w:b/>
              </w:rPr>
              <w:t>宁强县职业高级中学</w:t>
            </w:r>
            <w:r>
              <w:rPr>
                <w:rFonts w:ascii="仿宋_GB2312" w:hAnsi="仿宋_GB2312" w:cs="仿宋_GB2312" w:eastAsia="仿宋_GB2312"/>
                <w:sz w:val="28"/>
                <w:b/>
              </w:rPr>
              <w:t>2026年VR虚拟仿真实训室建设采购清单</w:t>
            </w:r>
          </w:p>
          <w:tbl>
            <w:tblPr>
              <w:tblBorders>
                <w:top w:val="none" w:color="000000" w:sz="4"/>
                <w:left w:val="none" w:color="000000" w:sz="4"/>
                <w:bottom w:val="none" w:color="000000" w:sz="4"/>
                <w:right w:val="none" w:color="000000" w:sz="4"/>
                <w:insideH w:val="none"/>
                <w:insideV w:val="none"/>
              </w:tblBorders>
            </w:tblPr>
            <w:tblGrid>
              <w:gridCol w:w="103"/>
              <w:gridCol w:w="197"/>
              <w:gridCol w:w="132"/>
              <w:gridCol w:w="102"/>
              <w:gridCol w:w="1691"/>
              <w:gridCol w:w="186"/>
              <w:gridCol w:w="140"/>
            </w:tblGrid>
            <w:tr>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名称</w:t>
                  </w:r>
                </w:p>
              </w:tc>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技术参数</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用途</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VR智能终端</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w:t>
                  </w: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1.CPU ：Kayo 585核心，8核64位，最高主频 2.84 GHz</w:t>
                  </w:r>
                  <w:r>
                    <w:br/>
                  </w:r>
                  <w:r>
                    <w:rPr>
                      <w:rFonts w:ascii="仿宋_GB2312" w:hAnsi="仿宋_GB2312" w:cs="仿宋_GB2312" w:eastAsia="仿宋_GB2312"/>
                      <w:sz w:val="18"/>
                      <w:color w:val="000000"/>
                    </w:rPr>
                    <w:t>2.内存：≥6 GB LPDDR4x</w:t>
                  </w:r>
                  <w:r>
                    <w:br/>
                  </w:r>
                  <w:r>
                    <w:rPr>
                      <w:rFonts w:ascii="仿宋_GB2312" w:hAnsi="仿宋_GB2312" w:cs="仿宋_GB2312" w:eastAsia="仿宋_GB2312"/>
                      <w:sz w:val="18"/>
                      <w:color w:val="000000"/>
                    </w:rPr>
                    <w:t>3.闪存：≥UFS3.0 256GB</w:t>
                  </w:r>
                  <w:r>
                    <w:br/>
                  </w:r>
                  <w:r>
                    <w:rPr>
                      <w:rFonts w:ascii="仿宋_GB2312" w:hAnsi="仿宋_GB2312" w:cs="仿宋_GB2312" w:eastAsia="仿宋_GB2312"/>
                      <w:sz w:val="18"/>
                      <w:color w:val="000000"/>
                    </w:rPr>
                    <w:t>4.WIFI：≥Wi-Fi 6</w:t>
                  </w:r>
                  <w:r>
                    <w:br/>
                  </w:r>
                  <w:r>
                    <w:rPr>
                      <w:rFonts w:ascii="仿宋_GB2312" w:hAnsi="仿宋_GB2312" w:cs="仿宋_GB2312" w:eastAsia="仿宋_GB2312"/>
                      <w:sz w:val="18"/>
                      <w:color w:val="000000"/>
                    </w:rPr>
                    <w:t>5.蓝牙≥BT5.1</w:t>
                  </w:r>
                  <w:r>
                    <w:br/>
                  </w:r>
                  <w:r>
                    <w:rPr>
                      <w:rFonts w:ascii="仿宋_GB2312" w:hAnsi="仿宋_GB2312" w:cs="仿宋_GB2312" w:eastAsia="仿宋_GB2312"/>
                      <w:sz w:val="18"/>
                      <w:color w:val="000000"/>
                    </w:rPr>
                    <w:t>6.系统：≥Android 10</w:t>
                  </w:r>
                  <w:r>
                    <w:br/>
                  </w:r>
                  <w:r>
                    <w:rPr>
                      <w:rFonts w:ascii="仿宋_GB2312" w:hAnsi="仿宋_GB2312" w:cs="仿宋_GB2312" w:eastAsia="仿宋_GB2312"/>
                      <w:sz w:val="18"/>
                      <w:color w:val="000000"/>
                    </w:rPr>
                    <w:t>7.屏幕：≥5.5 inch x 1 SFR TFT</w:t>
                  </w:r>
                  <w:r>
                    <w:br/>
                  </w:r>
                  <w:r>
                    <w:rPr>
                      <w:rFonts w:ascii="仿宋_GB2312" w:hAnsi="仿宋_GB2312" w:cs="仿宋_GB2312" w:eastAsia="仿宋_GB2312"/>
                      <w:sz w:val="18"/>
                      <w:color w:val="000000"/>
                    </w:rPr>
                    <w:t>8.分辨率：≥3664*1920, 773 PPI</w:t>
                  </w:r>
                  <w:r>
                    <w:br/>
                  </w:r>
                  <w:r>
                    <w:rPr>
                      <w:rFonts w:ascii="仿宋_GB2312" w:hAnsi="仿宋_GB2312" w:cs="仿宋_GB2312" w:eastAsia="仿宋_GB2312"/>
                      <w:sz w:val="18"/>
                      <w:color w:val="000000"/>
                    </w:rPr>
                    <w:t>9.刷新率：≥72/90Hz</w:t>
                  </w:r>
                  <w:r>
                    <w:br/>
                  </w:r>
                  <w:r>
                    <w:rPr>
                      <w:rFonts w:ascii="仿宋_GB2312" w:hAnsi="仿宋_GB2312" w:cs="仿宋_GB2312" w:eastAsia="仿宋_GB2312"/>
                      <w:sz w:val="18"/>
                      <w:color w:val="000000"/>
                    </w:rPr>
                    <w:t>10.镜片和材质≥</w:t>
                  </w:r>
                  <w:r>
                    <w:rPr>
                      <w:rFonts w:ascii="仿宋_GB2312" w:hAnsi="仿宋_GB2312" w:cs="仿宋_GB2312" w:eastAsia="仿宋_GB2312"/>
                      <w:sz w:val="18"/>
                      <w:color w:val="000000"/>
                    </w:rPr>
                    <w:t>Fresnel lens</w:t>
                  </w:r>
                  <w:r>
                    <w:rPr>
                      <w:rFonts w:ascii="仿宋_GB2312" w:hAnsi="仿宋_GB2312" w:cs="仿宋_GB2312" w:eastAsia="仿宋_GB2312"/>
                      <w:sz w:val="18"/>
                      <w:color w:val="000000"/>
                    </w:rPr>
                    <w:t>，</w:t>
                  </w:r>
                  <w:r>
                    <w:rPr>
                      <w:rFonts w:ascii="仿宋_GB2312" w:hAnsi="仿宋_GB2312" w:cs="仿宋_GB2312" w:eastAsia="仿宋_GB2312"/>
                      <w:sz w:val="18"/>
                      <w:color w:val="000000"/>
                    </w:rPr>
                    <w:t>PMMA 材质</w:t>
                  </w:r>
                  <w:r>
                    <w:br/>
                  </w:r>
                  <w:r>
                    <w:rPr>
                      <w:rFonts w:ascii="仿宋_GB2312" w:hAnsi="仿宋_GB2312" w:cs="仿宋_GB2312" w:eastAsia="仿宋_GB2312"/>
                      <w:sz w:val="18"/>
                      <w:color w:val="000000"/>
                    </w:rPr>
                    <w:t>11.视场角：≥98°</w:t>
                  </w:r>
                  <w:r>
                    <w:br/>
                  </w:r>
                  <w:r>
                    <w:rPr>
                      <w:rFonts w:ascii="仿宋_GB2312" w:hAnsi="仿宋_GB2312" w:cs="仿宋_GB2312" w:eastAsia="仿宋_GB2312"/>
                      <w:sz w:val="18"/>
                      <w:color w:val="000000"/>
                    </w:rPr>
                    <w:t>12.透镜：</w:t>
                  </w:r>
                  <w:r>
                    <w:rPr>
                      <w:rFonts w:ascii="仿宋_GB2312" w:hAnsi="仿宋_GB2312" w:cs="仿宋_GB2312" w:eastAsia="仿宋_GB2312"/>
                      <w:sz w:val="18"/>
                      <w:color w:val="000000"/>
                    </w:rPr>
                    <w:t>Fresnel lens</w:t>
                  </w:r>
                  <w:r>
                    <w:br/>
                  </w:r>
                  <w:r>
                    <w:rPr>
                      <w:rFonts w:ascii="仿宋_GB2312" w:hAnsi="仿宋_GB2312" w:cs="仿宋_GB2312" w:eastAsia="仿宋_GB2312"/>
                      <w:sz w:val="18"/>
                      <w:color w:val="000000"/>
                    </w:rPr>
                    <w:t>13.护眼模式：TÜV 低蓝光认证</w:t>
                  </w:r>
                  <w:r>
                    <w:br/>
                  </w:r>
                  <w:r>
                    <w:rPr>
                      <w:rFonts w:ascii="仿宋_GB2312" w:hAnsi="仿宋_GB2312" w:cs="仿宋_GB2312" w:eastAsia="仿宋_GB2312"/>
                      <w:sz w:val="18"/>
                      <w:color w:val="000000"/>
                    </w:rPr>
                    <w:t>14.瞳距调节：58mm，63.5mm（默认），69mm</w:t>
                  </w:r>
                  <w:r>
                    <w:br/>
                  </w:r>
                  <w:r>
                    <w:rPr>
                      <w:rFonts w:ascii="仿宋_GB2312" w:hAnsi="仿宋_GB2312" w:cs="仿宋_GB2312" w:eastAsia="仿宋_GB2312"/>
                      <w:sz w:val="18"/>
                      <w:color w:val="000000"/>
                    </w:rPr>
                    <w:t>15.手柄：6DoF体感手柄 x 2</w:t>
                  </w:r>
                  <w:r>
                    <w:br/>
                  </w:r>
                  <w:r>
                    <w:rPr>
                      <w:rFonts w:ascii="仿宋_GB2312" w:hAnsi="仿宋_GB2312" w:cs="仿宋_GB2312" w:eastAsia="仿宋_GB2312"/>
                      <w:sz w:val="18"/>
                      <w:color w:val="000000"/>
                    </w:rPr>
                    <w:t>16.电池容量：≥5300mAh</w:t>
                  </w:r>
                  <w:r>
                    <w:br/>
                  </w:r>
                  <w:r>
                    <w:rPr>
                      <w:rFonts w:ascii="仿宋_GB2312" w:hAnsi="仿宋_GB2312" w:cs="仿宋_GB2312" w:eastAsia="仿宋_GB2312"/>
                      <w:sz w:val="18"/>
                      <w:color w:val="000000"/>
                    </w:rPr>
                    <w:t>17.充电： QC3.0 快充，USB PD 3.0 快充</w:t>
                  </w:r>
                  <w:r>
                    <w:br/>
                  </w:r>
                  <w:r>
                    <w:rPr>
                      <w:rFonts w:ascii="仿宋_GB2312" w:hAnsi="仿宋_GB2312" w:cs="仿宋_GB2312" w:eastAsia="仿宋_GB2312"/>
                      <w:sz w:val="18"/>
                      <w:color w:val="000000"/>
                    </w:rPr>
                    <w:t>18.扬声器：360°环绕一体式立体声喇叭</w:t>
                  </w:r>
                  <w:r>
                    <w:br/>
                  </w:r>
                  <w:r>
                    <w:rPr>
                      <w:rFonts w:ascii="仿宋_GB2312" w:hAnsi="仿宋_GB2312" w:cs="仿宋_GB2312" w:eastAsia="仿宋_GB2312"/>
                      <w:sz w:val="18"/>
                      <w:color w:val="000000"/>
                    </w:rPr>
                    <w:t>19.麦克风：双麦克风</w:t>
                  </w:r>
                  <w:r>
                    <w:br/>
                  </w:r>
                  <w:r>
                    <w:rPr>
                      <w:rFonts w:ascii="仿宋_GB2312" w:hAnsi="仿宋_GB2312" w:cs="仿宋_GB2312" w:eastAsia="仿宋_GB2312"/>
                      <w:sz w:val="18"/>
                      <w:color w:val="000000"/>
                    </w:rPr>
                    <w:t>20.耳机：3.5mm 音频接口</w:t>
                  </w:r>
                  <w:r>
                    <w:br/>
                  </w:r>
                  <w:r>
                    <w:rPr>
                      <w:rFonts w:ascii="仿宋_GB2312" w:hAnsi="仿宋_GB2312" w:cs="仿宋_GB2312" w:eastAsia="仿宋_GB2312"/>
                      <w:sz w:val="18"/>
                      <w:color w:val="000000"/>
                    </w:rPr>
                    <w:t>21.传输：USB Type-C 3.0 具备DP Out功能，支持有线直连投屏显示画面</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核心交互终端，保障</w:t>
                  </w:r>
                  <w:r>
                    <w:br/>
                  </w:r>
                  <w:r>
                    <w:rPr>
                      <w:rFonts w:ascii="仿宋_GB2312" w:hAnsi="仿宋_GB2312" w:cs="仿宋_GB2312" w:eastAsia="仿宋_GB2312"/>
                      <w:sz w:val="18"/>
                      <w:color w:val="000000"/>
                    </w:rPr>
                    <w:t>沉浸感</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86寸触摸一体机</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套</w:t>
                  </w: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1.交互黑板整机采用五段式一体化设计，侧板由两块固定侧板组成。交互黑板长度≥4400mm，高度≥1200mm，厚度≤80mm</w:t>
                  </w:r>
                  <w:r>
                    <w:br/>
                  </w:r>
                  <w:r>
                    <w:rPr>
                      <w:rFonts w:ascii="仿宋_GB2312" w:hAnsi="仿宋_GB2312" w:cs="仿宋_GB2312" w:eastAsia="仿宋_GB2312"/>
                      <w:sz w:val="18"/>
                      <w:color w:val="000000"/>
                    </w:rPr>
                    <w:t>2.液晶显示尺寸≧86英寸，分辨率≧3840*2160，屏幕刷新率可达60Hz，色彩覆盖率≥120%，屏幕表面钢化玻璃采用AG工艺，厚度≤3.5mm，硬度可达莫氏7级。主屏背板采用高强度镀锌钢板材质，整块厚度≥1mm</w:t>
                  </w:r>
                  <w:r>
                    <w:br/>
                  </w:r>
                  <w:r>
                    <w:rPr>
                      <w:rFonts w:ascii="仿宋_GB2312" w:hAnsi="仿宋_GB2312" w:cs="仿宋_GB2312" w:eastAsia="仿宋_GB2312"/>
                      <w:sz w:val="18"/>
                      <w:color w:val="000000"/>
                    </w:rPr>
                    <w:t>3.主屏采用红外全贴合触控技术，在Windows与Android下均支持至少40点同时触控，光标移动速度≥120帧/秒，书写延迟≤15mms，触摸响应时间≤ 5ms，最小识别直径≤3mm</w:t>
                  </w:r>
                  <w:r>
                    <w:br/>
                  </w:r>
                  <w:r>
                    <w:rPr>
                      <w:rFonts w:ascii="仿宋_GB2312" w:hAnsi="仿宋_GB2312" w:cs="仿宋_GB2312" w:eastAsia="仿宋_GB2312"/>
                      <w:sz w:val="18"/>
                      <w:color w:val="000000"/>
                    </w:rPr>
                    <w:t>4.前置≥1路HDMI接口（非转接），≥2路前置USB3.0接口，≥1路USB Type-C（Type-C接口具备音频、视频、数据、触控、充电等功能，外接电脑可调用交互设备麦克风、音响、摄像头等数据）</w:t>
                  </w:r>
                  <w:r>
                    <w:br/>
                  </w:r>
                  <w:r>
                    <w:rPr>
                      <w:rFonts w:ascii="仿宋_GB2312" w:hAnsi="仿宋_GB2312" w:cs="仿宋_GB2312" w:eastAsia="仿宋_GB2312"/>
                      <w:sz w:val="18"/>
                      <w:color w:val="000000"/>
                    </w:rPr>
                    <w:t>5.黑板提供RJ45接口≥1路，音频输入接口≥1路，RS232接口≥1路，VGA输入接口≥1路</w:t>
                  </w:r>
                  <w:r>
                    <w:br/>
                  </w:r>
                  <w:r>
                    <w:rPr>
                      <w:rFonts w:ascii="仿宋_GB2312" w:hAnsi="仿宋_GB2312" w:cs="仿宋_GB2312" w:eastAsia="仿宋_GB2312"/>
                      <w:sz w:val="18"/>
                      <w:color w:val="000000"/>
                    </w:rPr>
                    <w:t>6.前置接口面板、前置按键面板、屏体主板、屏体电源板、扬声器分别支持单独前拆，无需拆卸显示屏即可维护</w:t>
                  </w:r>
                  <w:r>
                    <w:br/>
                  </w:r>
                  <w:r>
                    <w:rPr>
                      <w:rFonts w:ascii="仿宋_GB2312" w:hAnsi="仿宋_GB2312" w:cs="仿宋_GB2312" w:eastAsia="仿宋_GB2312"/>
                      <w:sz w:val="18"/>
                      <w:color w:val="000000"/>
                    </w:rPr>
                    <w:t>7.前置接口按键不少于8个，可实现系统还原、窗口关闭、触控开关等功能，且每个按键不少于两种以上功能</w:t>
                  </w:r>
                  <w:r>
                    <w:br/>
                  </w:r>
                  <w:r>
                    <w:rPr>
                      <w:rFonts w:ascii="仿宋_GB2312" w:hAnsi="仿宋_GB2312" w:cs="仿宋_GB2312" w:eastAsia="仿宋_GB2312"/>
                      <w:sz w:val="18"/>
                      <w:color w:val="000000"/>
                    </w:rPr>
                    <w:t>8.采用2.2声道音箱，额定功率≥60W，低音音箱尺寸≥3英寸；整机扬声器在100%音量下，1 米处声压级≥90db，10 米处声压级≥80db；谐振频率不高于260Hz</w:t>
                  </w:r>
                  <w:r>
                    <w:br/>
                  </w:r>
                  <w:r>
                    <w:rPr>
                      <w:rFonts w:ascii="仿宋_GB2312" w:hAnsi="仿宋_GB2312" w:cs="仿宋_GB2312" w:eastAsia="仿宋_GB2312"/>
                      <w:sz w:val="18"/>
                      <w:color w:val="000000"/>
                    </w:rPr>
                    <w:t>9.具备安装前置笔槽设计，安装后可放置磁吸式书写笔、智能电子教鞭、粉笔、水性笔等</w:t>
                  </w:r>
                  <w:r>
                    <w:br/>
                  </w:r>
                  <w:r>
                    <w:rPr>
                      <w:rFonts w:ascii="仿宋_GB2312" w:hAnsi="仿宋_GB2312" w:cs="仿宋_GB2312" w:eastAsia="仿宋_GB2312"/>
                      <w:sz w:val="18"/>
                      <w:color w:val="000000"/>
                    </w:rPr>
                    <w:t>10.采用物理减滤蓝光设计，无需其他操作即可实现防蓝光。在源头减少有害蓝光波段能量，有害蓝光波长 415～455nm＜30%，低蓝光模式屏幕色温无变化</w:t>
                  </w:r>
                  <w:r>
                    <w:br/>
                  </w:r>
                  <w:r>
                    <w:rPr>
                      <w:rFonts w:ascii="仿宋_GB2312" w:hAnsi="仿宋_GB2312" w:cs="仿宋_GB2312" w:eastAsia="仿宋_GB2312"/>
                      <w:sz w:val="18"/>
                      <w:color w:val="000000"/>
                    </w:rPr>
                    <w:t>11.通过 DC 调光技术，光源稳定无频闪，摄像设备拍摄时画面无条纹闪烁，整机支持类纸质护眼模式显示，支持任意通道、软件下画面类纸质护眼模式实时调整，支持透明度、色温调节</w:t>
                  </w:r>
                  <w:r>
                    <w:br/>
                  </w:r>
                  <w:r>
                    <w:rPr>
                      <w:rFonts w:ascii="仿宋_GB2312" w:hAnsi="仿宋_GB2312" w:cs="仿宋_GB2312" w:eastAsia="仿宋_GB2312"/>
                      <w:sz w:val="18"/>
                      <w:color w:val="000000"/>
                    </w:rPr>
                    <w:t>12.内置电脑</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中心显示终端，高清</w:t>
                  </w:r>
                  <w:r>
                    <w:br/>
                  </w:r>
                  <w:r>
                    <w:rPr>
                      <w:rFonts w:ascii="仿宋_GB2312" w:hAnsi="仿宋_GB2312" w:cs="仿宋_GB2312" w:eastAsia="仿宋_GB2312"/>
                      <w:sz w:val="18"/>
                      <w:color w:val="000000"/>
                    </w:rPr>
                    <w:t>投屏</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VR充电消毒一体柜</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套</w:t>
                  </w: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1.主体材质：1.0-1.8mmSPCC冷轧碳素钢与环保ABS工程塑料相结合</w:t>
                  </w:r>
                  <w:r>
                    <w:br/>
                  </w:r>
                  <w:r>
                    <w:rPr>
                      <w:rFonts w:ascii="仿宋_GB2312" w:hAnsi="仿宋_GB2312" w:cs="仿宋_GB2312" w:eastAsia="仿宋_GB2312"/>
                      <w:sz w:val="18"/>
                      <w:color w:val="000000"/>
                    </w:rPr>
                    <w:t>2.采用全封闭防盗结构、工艺上耐酸碱腐蚀、耐磨、防静电等</w:t>
                  </w:r>
                  <w:r>
                    <w:br/>
                  </w:r>
                  <w:r>
                    <w:rPr>
                      <w:rFonts w:ascii="仿宋_GB2312" w:hAnsi="仿宋_GB2312" w:cs="仿宋_GB2312" w:eastAsia="仿宋_GB2312"/>
                      <w:sz w:val="18"/>
                      <w:color w:val="000000"/>
                    </w:rPr>
                    <w:t>3.采用USB充电模式，方便安全</w:t>
                  </w:r>
                  <w:r>
                    <w:br/>
                  </w:r>
                  <w:r>
                    <w:rPr>
                      <w:rFonts w:ascii="仿宋_GB2312" w:hAnsi="仿宋_GB2312" w:cs="仿宋_GB2312" w:eastAsia="仿宋_GB2312"/>
                      <w:sz w:val="18"/>
                      <w:color w:val="000000"/>
                    </w:rPr>
                    <w:t>4.高品质超静音脚轮（四轮万向，两轮带刹车）和左右人体工学把手</w:t>
                  </w:r>
                  <w:r>
                    <w:br/>
                  </w:r>
                  <w:r>
                    <w:rPr>
                      <w:rFonts w:ascii="仿宋_GB2312" w:hAnsi="仿宋_GB2312" w:cs="仿宋_GB2312" w:eastAsia="仿宋_GB2312"/>
                      <w:sz w:val="18"/>
                      <w:color w:val="000000"/>
                    </w:rPr>
                    <w:t>5.一体化电源管理系统：</w:t>
                  </w:r>
                  <w:r>
                    <w:br/>
                  </w:r>
                  <w:r>
                    <w:rPr>
                      <w:rFonts w:ascii="仿宋_GB2312" w:hAnsi="仿宋_GB2312" w:cs="仿宋_GB2312" w:eastAsia="仿宋_GB2312"/>
                      <w:sz w:val="18"/>
                      <w:color w:val="000000"/>
                    </w:rPr>
                    <w:t>A. USB供电，5V/2A直接输出，全电源管理芯片式集成电路设计，自动检测平板允许输入电流，优先供应低电位设备。根据电池电量自动以普通，快速，涓流三种模式供电，满电自动断电</w:t>
                  </w:r>
                  <w:r>
                    <w:br/>
                  </w:r>
                  <w:r>
                    <w:rPr>
                      <w:rFonts w:ascii="仿宋_GB2312" w:hAnsi="仿宋_GB2312" w:cs="仿宋_GB2312" w:eastAsia="仿宋_GB2312"/>
                      <w:sz w:val="18"/>
                      <w:color w:val="000000"/>
                    </w:rPr>
                    <w:t>B.过载保护:当功率过大或电流不稳定时自动断电，防止损坏设备</w:t>
                  </w:r>
                  <w:r>
                    <w:br/>
                  </w:r>
                  <w:r>
                    <w:rPr>
                      <w:rFonts w:ascii="仿宋_GB2312" w:hAnsi="仿宋_GB2312" w:cs="仿宋_GB2312" w:eastAsia="仿宋_GB2312"/>
                      <w:sz w:val="18"/>
                      <w:color w:val="000000"/>
                    </w:rPr>
                    <w:t>C.带有定时时长显示屏，数码显示定时时长</w:t>
                  </w:r>
                  <w:r>
                    <w:br/>
                  </w:r>
                  <w:r>
                    <w:rPr>
                      <w:rFonts w:ascii="仿宋_GB2312" w:hAnsi="仿宋_GB2312" w:cs="仿宋_GB2312" w:eastAsia="仿宋_GB2312"/>
                      <w:sz w:val="18"/>
                      <w:color w:val="000000"/>
                    </w:rPr>
                    <w:t>D.互循环散热结构，自动控制风扇在一定温度区域内启动风扇强制散热，充电过程中产生热量由风扇强制排出，保证设备在安全温度运行，整体安全可靠，节能环保</w:t>
                  </w:r>
                  <w:r>
                    <w:br/>
                  </w:r>
                  <w:r>
                    <w:rPr>
                      <w:rFonts w:ascii="仿宋_GB2312" w:hAnsi="仿宋_GB2312" w:cs="仿宋_GB2312" w:eastAsia="仿宋_GB2312"/>
                      <w:sz w:val="18"/>
                      <w:color w:val="000000"/>
                    </w:rPr>
                    <w:t xml:space="preserve">E.满足宽频电压输入，范围为110V-240V </w:t>
                  </w:r>
                  <w:r>
                    <w:br/>
                  </w:r>
                  <w:r>
                    <w:rPr>
                      <w:rFonts w:ascii="仿宋_GB2312" w:hAnsi="仿宋_GB2312" w:cs="仿宋_GB2312" w:eastAsia="仿宋_GB2312"/>
                      <w:sz w:val="18"/>
                      <w:color w:val="000000"/>
                    </w:rPr>
                    <w:t>6.标配防漏电、防短路多重保护系统，确保使用者人身安全</w:t>
                  </w:r>
                  <w:r>
                    <w:br/>
                  </w:r>
                  <w:r>
                    <w:rPr>
                      <w:rFonts w:ascii="仿宋_GB2312" w:hAnsi="仿宋_GB2312" w:cs="仿宋_GB2312" w:eastAsia="仿宋_GB2312"/>
                      <w:sz w:val="18"/>
                      <w:color w:val="000000"/>
                    </w:rPr>
                    <w:t>7.柜体侧面带有置物槽，可存放电源线，无线AP等</w:t>
                  </w:r>
                  <w:r>
                    <w:br/>
                  </w:r>
                  <w:r>
                    <w:rPr>
                      <w:rFonts w:ascii="仿宋_GB2312" w:hAnsi="仿宋_GB2312" w:cs="仿宋_GB2312" w:eastAsia="仿宋_GB2312"/>
                      <w:sz w:val="18"/>
                      <w:color w:val="000000"/>
                    </w:rPr>
                    <w:t>8.自带消毒功能</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确保设备寿命与卫生</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教师中控工作站</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w:t>
                  </w: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1.处理器(CPU):≥ Intel 酷睿 i7 系列 或 AMD Ryzen 7 系列 同性能级别产品；要求核心数≥12核，线程数≥20线程，最大睿频频率≥4.8GHz，三级缓存≥25MB。</w:t>
                  </w:r>
                  <w:r>
                    <w:br/>
                  </w:r>
                  <w:r>
                    <w:rPr>
                      <w:rFonts w:ascii="仿宋_GB2312" w:hAnsi="仿宋_GB2312" w:cs="仿宋_GB2312" w:eastAsia="仿宋_GB2312"/>
                      <w:sz w:val="18"/>
                      <w:color w:val="000000"/>
                    </w:rPr>
                    <w:t>2.内存:≥ 32GB，类型≥ DDR5 或同频率性能 DDR4，频率≥4800MHz（DDR5）/3200MHz（DDR4）；要求双通道配置，预留至少2个额外内存插槽供后续扩展至64GB。</w:t>
                  </w:r>
                  <w:r>
                    <w:br/>
                  </w:r>
                  <w:r>
                    <w:rPr>
                      <w:rFonts w:ascii="仿宋_GB2312" w:hAnsi="仿宋_GB2312" w:cs="仿宋_GB2312" w:eastAsia="仿宋_GB2312"/>
                      <w:sz w:val="18"/>
                      <w:color w:val="000000"/>
                    </w:rPr>
                    <w:t>3.硬盘:≥ 1TB M.2 NVMe 协议固态硬盘，接口类型 PCIe 4.0 x4，顺序读取速度≥5000MB/s。须额外预留至少1个机械硬盘位及SATA电源接口。</w:t>
                  </w:r>
                  <w:r>
                    <w:br/>
                  </w:r>
                  <w:r>
                    <w:rPr>
                      <w:rFonts w:ascii="仿宋_GB2312" w:hAnsi="仿宋_GB2312" w:cs="仿宋_GB2312" w:eastAsia="仿宋_GB2312"/>
                      <w:sz w:val="18"/>
                      <w:color w:val="000000"/>
                    </w:rPr>
                    <w:t>4.显卡:集显型号:独立显卡：≥ NVIDIA GeForce RTX 4060 Ti 或 AMD Radeon RX 7700 XT 同性能级别产品；显存容量≥8GB GDDR6，显存位宽≥128bit，支持光线追踪及DX12 Ultimate。</w:t>
                  </w:r>
                  <w:r>
                    <w:br/>
                  </w:r>
                  <w:r>
                    <w:rPr>
                      <w:rFonts w:ascii="仿宋_GB2312" w:hAnsi="仿宋_GB2312" w:cs="仿宋_GB2312" w:eastAsia="仿宋_GB2312"/>
                      <w:sz w:val="18"/>
                      <w:color w:val="000000"/>
                    </w:rPr>
                    <w:t>5.预装系统Windows 11 专业版及以上系统（支持正版）</w:t>
                  </w:r>
                  <w:r>
                    <w:br/>
                  </w:r>
                  <w:r>
                    <w:rPr>
                      <w:rFonts w:ascii="仿宋_GB2312" w:hAnsi="仿宋_GB2312" w:cs="仿宋_GB2312" w:eastAsia="仿宋_GB2312"/>
                      <w:sz w:val="18"/>
                      <w:color w:val="000000"/>
                    </w:rPr>
                    <w:t>6.电源：额定功率≥ 650W，获得 80PLUS 金牌 或同等级别转换效率认证；要求采用LLC谐振架构，支持主动式PFC，具备过压/过流/短路保护。</w:t>
                  </w:r>
                  <w:r>
                    <w:br/>
                  </w:r>
                  <w:r>
                    <w:rPr>
                      <w:rFonts w:ascii="仿宋_GB2312" w:hAnsi="仿宋_GB2312" w:cs="仿宋_GB2312" w:eastAsia="仿宋_GB2312"/>
                      <w:sz w:val="18"/>
                      <w:color w:val="000000"/>
                    </w:rPr>
                    <w:t>7.散热：CPU散热器要求采用≥ 6mm热管直触 风冷方案 或 一体式240水冷方案；机箱风扇配置要求为前进后出正压差风道设计。</w:t>
                  </w:r>
                  <w:r>
                    <w:br/>
                  </w:r>
                  <w:r>
                    <w:rPr>
                      <w:rFonts w:ascii="仿宋_GB2312" w:hAnsi="仿宋_GB2312" w:cs="仿宋_GB2312" w:eastAsia="仿宋_GB2312"/>
                      <w:sz w:val="18"/>
                      <w:color w:val="000000"/>
                    </w:rPr>
                    <w:t>8.显示设备：尺寸≥ 23.8英寸，分辨率≥ 1920*1080，刷新率≥ 100Hz，面板技术≥ IPS，色域覆盖≥ 99% sRGB，接口须包含HDMI及DP。</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承担资源调度与渲染</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极速组网套件</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套</w:t>
                  </w: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1.网口数量：大于3个</w:t>
                  </w:r>
                  <w:r>
                    <w:br/>
                  </w:r>
                  <w:r>
                    <w:rPr>
                      <w:rFonts w:ascii="仿宋_GB2312" w:hAnsi="仿宋_GB2312" w:cs="仿宋_GB2312" w:eastAsia="仿宋_GB2312"/>
                      <w:sz w:val="18"/>
                      <w:color w:val="000000"/>
                    </w:rPr>
                    <w:t>2.空间流数：大于4条</w:t>
                  </w:r>
                  <w:r>
                    <w:br/>
                  </w:r>
                  <w:r>
                    <w:rPr>
                      <w:rFonts w:ascii="仿宋_GB2312" w:hAnsi="仿宋_GB2312" w:cs="仿宋_GB2312" w:eastAsia="仿宋_GB2312"/>
                      <w:sz w:val="18"/>
                      <w:color w:val="000000"/>
                    </w:rPr>
                    <w:t>3.适用频段：2.4GHz+5GHz</w:t>
                  </w:r>
                  <w:r>
                    <w:br/>
                  </w:r>
                  <w:r>
                    <w:rPr>
                      <w:rFonts w:ascii="仿宋_GB2312" w:hAnsi="仿宋_GB2312" w:cs="仿宋_GB2312" w:eastAsia="仿宋_GB2312"/>
                      <w:sz w:val="18"/>
                      <w:color w:val="000000"/>
                    </w:rPr>
                    <w:t>4.频宽：80MHz</w:t>
                  </w:r>
                  <w:r>
                    <w:br/>
                  </w:r>
                  <w:r>
                    <w:rPr>
                      <w:rFonts w:ascii="仿宋_GB2312" w:hAnsi="仿宋_GB2312" w:cs="仿宋_GB2312" w:eastAsia="仿宋_GB2312"/>
                      <w:sz w:val="18"/>
                      <w:color w:val="000000"/>
                    </w:rPr>
                    <w:t>5.是否支持Mesh：支持Mesh</w:t>
                  </w:r>
                  <w:r>
                    <w:br/>
                  </w:r>
                  <w:r>
                    <w:rPr>
                      <w:rFonts w:ascii="仿宋_GB2312" w:hAnsi="仿宋_GB2312" w:cs="仿宋_GB2312" w:eastAsia="仿宋_GB2312"/>
                      <w:sz w:val="18"/>
                      <w:color w:val="000000"/>
                    </w:rPr>
                    <w:t>6.AI功能：AI防火墙</w:t>
                  </w:r>
                  <w:r>
                    <w:br/>
                  </w:r>
                  <w:r>
                    <w:rPr>
                      <w:rFonts w:ascii="仿宋_GB2312" w:hAnsi="仿宋_GB2312" w:cs="仿宋_GB2312" w:eastAsia="仿宋_GB2312"/>
                      <w:sz w:val="18"/>
                      <w:color w:val="000000"/>
                    </w:rPr>
                    <w:t>7.频段：双频</w:t>
                  </w:r>
                  <w:r>
                    <w:br/>
                  </w:r>
                  <w:r>
                    <w:rPr>
                      <w:rFonts w:ascii="仿宋_GB2312" w:hAnsi="仿宋_GB2312" w:cs="仿宋_GB2312" w:eastAsia="仿宋_GB2312"/>
                      <w:sz w:val="18"/>
                      <w:color w:val="000000"/>
                    </w:rPr>
                    <w:t>8.LAN输出口：千兆网口</w:t>
                  </w:r>
                  <w:r>
                    <w:br/>
                  </w:r>
                  <w:r>
                    <w:rPr>
                      <w:rFonts w:ascii="仿宋_GB2312" w:hAnsi="仿宋_GB2312" w:cs="仿宋_GB2312" w:eastAsia="仿宋_GB2312"/>
                      <w:sz w:val="18"/>
                      <w:color w:val="000000"/>
                    </w:rPr>
                    <w:t>9.散热方式：自然散热</w:t>
                  </w:r>
                  <w:r>
                    <w:br/>
                  </w:r>
                  <w:r>
                    <w:rPr>
                      <w:rFonts w:ascii="仿宋_GB2312" w:hAnsi="仿宋_GB2312" w:cs="仿宋_GB2312" w:eastAsia="仿宋_GB2312"/>
                      <w:sz w:val="18"/>
                      <w:color w:val="000000"/>
                    </w:rPr>
                    <w:t>10.无线协议：Wi-Fi 5</w:t>
                  </w:r>
                  <w:r>
                    <w:br/>
                  </w:r>
                  <w:r>
                    <w:rPr>
                      <w:rFonts w:ascii="仿宋_GB2312" w:hAnsi="仿宋_GB2312" w:cs="仿宋_GB2312" w:eastAsia="仿宋_GB2312"/>
                      <w:sz w:val="18"/>
                      <w:color w:val="000000"/>
                    </w:rPr>
                    <w:t>11.WAN接入口：千兆网口</w:t>
                  </w:r>
                  <w:r>
                    <w:br/>
                  </w:r>
                  <w:r>
                    <w:rPr>
                      <w:rFonts w:ascii="仿宋_GB2312" w:hAnsi="仿宋_GB2312" w:cs="仿宋_GB2312" w:eastAsia="仿宋_GB2312"/>
                      <w:sz w:val="18"/>
                      <w:color w:val="000000"/>
                    </w:rPr>
                    <w:t>12.总带机量：101-150终端</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解决网络拥塞</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设备调试</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项</w:t>
                  </w: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1.并发网络链路优化</w:t>
                  </w:r>
                  <w:r>
                    <w:br/>
                  </w:r>
                  <w:r>
                    <w:rPr>
                      <w:rFonts w:ascii="仿宋_GB2312" w:hAnsi="仿宋_GB2312" w:cs="仿宋_GB2312" w:eastAsia="仿宋_GB2312"/>
                      <w:sz w:val="18"/>
                      <w:color w:val="000000"/>
                    </w:rPr>
                    <w:t>2.VR教学资源集群</w:t>
                  </w:r>
                  <w:r>
                    <w:br/>
                  </w:r>
                  <w:r>
                    <w:rPr>
                      <w:rFonts w:ascii="仿宋_GB2312" w:hAnsi="仿宋_GB2312" w:cs="仿宋_GB2312" w:eastAsia="仿宋_GB2312"/>
                      <w:sz w:val="18"/>
                      <w:color w:val="000000"/>
                    </w:rPr>
                    <w:t>3.分发部署</w:t>
                  </w:r>
                  <w:r>
                    <w:br/>
                  </w:r>
                  <w:r>
                    <w:rPr>
                      <w:rFonts w:ascii="仿宋_GB2312" w:hAnsi="仿宋_GB2312" w:cs="仿宋_GB2312" w:eastAsia="仿宋_GB2312"/>
                      <w:sz w:val="18"/>
                      <w:color w:val="000000"/>
                    </w:rPr>
                    <w:t>4.空间定位系统校准</w:t>
                  </w:r>
                  <w:r>
                    <w:br/>
                  </w:r>
                  <w:r>
                    <w:rPr>
                      <w:rFonts w:ascii="仿宋_GB2312" w:hAnsi="仿宋_GB2312" w:cs="仿宋_GB2312" w:eastAsia="仿宋_GB2312"/>
                      <w:sz w:val="18"/>
                      <w:color w:val="000000"/>
                    </w:rPr>
                    <w:t>5.播控系统</w:t>
                  </w:r>
                  <w:r>
                    <w:br/>
                  </w:r>
                  <w:r>
                    <w:rPr>
                      <w:rFonts w:ascii="仿宋_GB2312" w:hAnsi="仿宋_GB2312" w:cs="仿宋_GB2312" w:eastAsia="仿宋_GB2312"/>
                      <w:sz w:val="18"/>
                      <w:color w:val="000000"/>
                    </w:rPr>
                    <w:t>6.联调服务</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设备网络等调试</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音频系统</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个</w:t>
                  </w: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1.输出功率：≤2X100W/8</w:t>
                  </w:r>
                  <w:r>
                    <w:rPr>
                      <w:rFonts w:ascii="仿宋_GB2312" w:hAnsi="仿宋_GB2312" w:cs="仿宋_GB2312" w:eastAsia="仿宋_GB2312"/>
                      <w:sz w:val="18"/>
                      <w:color w:val="000000"/>
                    </w:rPr>
                    <w:t>Ω</w:t>
                  </w:r>
                  <w:r>
                    <w:rPr>
                      <w:rFonts w:ascii="仿宋_GB2312" w:hAnsi="仿宋_GB2312" w:cs="仿宋_GB2312" w:eastAsia="仿宋_GB2312"/>
                      <w:sz w:val="18"/>
                      <w:color w:val="000000"/>
                    </w:rPr>
                    <w:t>或</w:t>
                  </w:r>
                  <w:r>
                    <w:rPr>
                      <w:rFonts w:ascii="仿宋_GB2312" w:hAnsi="仿宋_GB2312" w:cs="仿宋_GB2312" w:eastAsia="仿宋_GB2312"/>
                      <w:sz w:val="18"/>
                      <w:color w:val="000000"/>
                    </w:rPr>
                    <w:t>4X50W/8</w:t>
                  </w:r>
                  <w:r>
                    <w:rPr>
                      <w:rFonts w:ascii="仿宋_GB2312" w:hAnsi="仿宋_GB2312" w:cs="仿宋_GB2312" w:eastAsia="仿宋_GB2312"/>
                      <w:sz w:val="18"/>
                      <w:color w:val="000000"/>
                    </w:rPr>
                    <w:t>Ω</w:t>
                  </w:r>
                  <w:r>
                    <w:br/>
                  </w:r>
                  <w:r>
                    <w:rPr>
                      <w:rFonts w:ascii="仿宋_GB2312" w:hAnsi="仿宋_GB2312" w:cs="仿宋_GB2312" w:eastAsia="仿宋_GB2312"/>
                      <w:sz w:val="18"/>
                      <w:color w:val="000000"/>
                    </w:rPr>
                    <w:t xml:space="preserve">2.灵敏度：≤220mV </w:t>
                  </w:r>
                  <w:r>
                    <w:br/>
                  </w:r>
                  <w:r>
                    <w:rPr>
                      <w:rFonts w:ascii="仿宋_GB2312" w:hAnsi="仿宋_GB2312" w:cs="仿宋_GB2312" w:eastAsia="仿宋_GB2312"/>
                      <w:sz w:val="18"/>
                      <w:color w:val="000000"/>
                    </w:rPr>
                    <w:t xml:space="preserve">3.信噪比：≥80dB </w:t>
                  </w:r>
                  <w:r>
                    <w:br/>
                  </w:r>
                  <w:r>
                    <w:rPr>
                      <w:rFonts w:ascii="仿宋_GB2312" w:hAnsi="仿宋_GB2312" w:cs="仿宋_GB2312" w:eastAsia="仿宋_GB2312"/>
                      <w:sz w:val="18"/>
                      <w:color w:val="000000"/>
                    </w:rPr>
                    <w:t>4.频率响应：20Hz-20KHz(±2dB)</w:t>
                  </w:r>
                  <w:r>
                    <w:br/>
                  </w:r>
                  <w:r>
                    <w:rPr>
                      <w:rFonts w:ascii="仿宋_GB2312" w:hAnsi="仿宋_GB2312" w:cs="仿宋_GB2312" w:eastAsia="仿宋_GB2312"/>
                      <w:sz w:val="18"/>
                      <w:color w:val="000000"/>
                    </w:rPr>
                    <w:t>5.音乐控制：高低音、左右平衡、音乐总音量控制旋钮</w:t>
                  </w:r>
                  <w:r>
                    <w:br/>
                  </w:r>
                  <w:r>
                    <w:rPr>
                      <w:rFonts w:ascii="仿宋_GB2312" w:hAnsi="仿宋_GB2312" w:cs="仿宋_GB2312" w:eastAsia="仿宋_GB2312"/>
                      <w:sz w:val="18"/>
                      <w:color w:val="000000"/>
                    </w:rPr>
                    <w:t>6.四路麦克风输入(前二后二)</w:t>
                  </w:r>
                  <w:r>
                    <w:br/>
                  </w:r>
                  <w:r>
                    <w:rPr>
                      <w:rFonts w:ascii="仿宋_GB2312" w:hAnsi="仿宋_GB2312" w:cs="仿宋_GB2312" w:eastAsia="仿宋_GB2312"/>
                      <w:sz w:val="18"/>
                      <w:color w:val="000000"/>
                    </w:rPr>
                    <w:t>7.具一键蓝牙 、USB接口功能</w:t>
                  </w:r>
                  <w:r>
                    <w:br/>
                  </w:r>
                  <w:r>
                    <w:rPr>
                      <w:rFonts w:ascii="仿宋_GB2312" w:hAnsi="仿宋_GB2312" w:cs="仿宋_GB2312" w:eastAsia="仿宋_GB2312"/>
                      <w:sz w:val="18"/>
                      <w:color w:val="000000"/>
                    </w:rPr>
                    <w:t>8.光纤、同轴输入，2组音源线路输入，1组录音输出</w:t>
                  </w:r>
                  <w:r>
                    <w:br/>
                  </w:r>
                  <w:r>
                    <w:rPr>
                      <w:rFonts w:ascii="仿宋_GB2312" w:hAnsi="仿宋_GB2312" w:cs="仿宋_GB2312" w:eastAsia="仿宋_GB2312"/>
                      <w:sz w:val="18"/>
                      <w:color w:val="000000"/>
                    </w:rPr>
                    <w:t>9.混响IC ，高品质专业大功率管，高速大容量滤波电容， 巨型低磁漏变压器，专业混响 、残响双效果</w:t>
                  </w:r>
                  <w:r>
                    <w:br/>
                  </w:r>
                  <w:r>
                    <w:rPr>
                      <w:rFonts w:ascii="仿宋_GB2312" w:hAnsi="仿宋_GB2312" w:cs="仿宋_GB2312" w:eastAsia="仿宋_GB2312"/>
                      <w:sz w:val="18"/>
                      <w:color w:val="000000"/>
                    </w:rPr>
                    <w:t>10.接收技术规格：具有音量显示，数字导频</w:t>
                  </w:r>
                  <w:r>
                    <w:br/>
                  </w:r>
                  <w:r>
                    <w:rPr>
                      <w:rFonts w:ascii="仿宋_GB2312" w:hAnsi="仿宋_GB2312" w:cs="仿宋_GB2312" w:eastAsia="仿宋_GB2312"/>
                      <w:sz w:val="18"/>
                      <w:color w:val="000000"/>
                    </w:rPr>
                    <w:t>11.供电电源 ≤DC12V/1A，电流消耗 ≤140mA(典型)</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全教室音频覆盖</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w:t>
                  </w: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1.主材材质：选用SPCC冷轧钢板</w:t>
                  </w:r>
                  <w:r>
                    <w:br/>
                  </w:r>
                  <w:r>
                    <w:rPr>
                      <w:rFonts w:ascii="仿宋_GB2312" w:hAnsi="仿宋_GB2312" w:cs="仿宋_GB2312" w:eastAsia="仿宋_GB2312"/>
                      <w:sz w:val="18"/>
                      <w:color w:val="000000"/>
                    </w:rPr>
                    <w:t>2.生产工艺：表面做脱脂、静电喷塑处理</w:t>
                  </w:r>
                  <w:r>
                    <w:br/>
                  </w:r>
                  <w:r>
                    <w:rPr>
                      <w:rFonts w:ascii="仿宋_GB2312" w:hAnsi="仿宋_GB2312" w:cs="仿宋_GB2312" w:eastAsia="仿宋_GB2312"/>
                      <w:sz w:val="18"/>
                      <w:color w:val="000000"/>
                    </w:rPr>
                    <w:t>3.机柜尺寸：高*宽*高1600*600*600mm，±3mm</w:t>
                  </w:r>
                  <w:r>
                    <w:br/>
                  </w:r>
                  <w:r>
                    <w:rPr>
                      <w:rFonts w:ascii="仿宋_GB2312" w:hAnsi="仿宋_GB2312" w:cs="仿宋_GB2312" w:eastAsia="仿宋_GB2312"/>
                      <w:sz w:val="18"/>
                      <w:color w:val="000000"/>
                    </w:rPr>
                    <w:t>4.机柜结构：六角网孔前门弹力锁，侧门可拆卸方便安装维护</w:t>
                  </w:r>
                  <w:r>
                    <w:br/>
                  </w:r>
                  <w:r>
                    <w:rPr>
                      <w:rFonts w:ascii="仿宋_GB2312" w:hAnsi="仿宋_GB2312" w:cs="仿宋_GB2312" w:eastAsia="仿宋_GB2312"/>
                      <w:sz w:val="18"/>
                      <w:color w:val="000000"/>
                    </w:rPr>
                    <w:t>5.产品参数：顶部配备散热风扇，底部预留走线口，配备6口电源插座</w:t>
                  </w:r>
                  <w:r>
                    <w:br/>
                  </w:r>
                  <w:r>
                    <w:rPr>
                      <w:rFonts w:ascii="仿宋_GB2312" w:hAnsi="仿宋_GB2312" w:cs="仿宋_GB2312" w:eastAsia="仿宋_GB2312"/>
                      <w:sz w:val="18"/>
                      <w:color w:val="000000"/>
                    </w:rPr>
                    <w:t>6.功能用途：可安装交换机、路由器、配线架、PDU等网络设备</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核心网络设备存放</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配电柜</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个</w:t>
                  </w: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1.双重开关控制：具备自动/手动控制设备供电的开启和关闭</w:t>
                  </w:r>
                  <w:r>
                    <w:br/>
                  </w:r>
                  <w:r>
                    <w:rPr>
                      <w:rFonts w:ascii="仿宋_GB2312" w:hAnsi="仿宋_GB2312" w:cs="仿宋_GB2312" w:eastAsia="仿宋_GB2312"/>
                      <w:sz w:val="18"/>
                      <w:color w:val="000000"/>
                    </w:rPr>
                    <w:t>2.多组输出回路：每组可独立控制，如照明输出、风机/空调输出分路、显示屏输出分路分开控制</w:t>
                  </w:r>
                  <w:r>
                    <w:br/>
                  </w:r>
                  <w:r>
                    <w:rPr>
                      <w:rFonts w:ascii="仿宋_GB2312" w:hAnsi="仿宋_GB2312" w:cs="仿宋_GB2312" w:eastAsia="仿宋_GB2312"/>
                      <w:sz w:val="18"/>
                      <w:color w:val="000000"/>
                    </w:rPr>
                    <w:t>3.上电保护功能：具有延时启动、浪涌保护、防雷、过流、短路等保护功能</w:t>
                  </w:r>
                  <w:r>
                    <w:br/>
                  </w:r>
                  <w:r>
                    <w:rPr>
                      <w:rFonts w:ascii="仿宋_GB2312" w:hAnsi="仿宋_GB2312" w:cs="仿宋_GB2312" w:eastAsia="仿宋_GB2312"/>
                      <w:sz w:val="18"/>
                      <w:color w:val="000000"/>
                    </w:rPr>
                    <w:t>4.功能性检测：具有电源状态指示、运行状态指示、检修多功能插座及检修照明开关</w:t>
                  </w:r>
                  <w:r>
                    <w:br/>
                  </w:r>
                  <w:r>
                    <w:rPr>
                      <w:rFonts w:ascii="仿宋_GB2312" w:hAnsi="仿宋_GB2312" w:cs="仿宋_GB2312" w:eastAsia="仿宋_GB2312"/>
                      <w:sz w:val="18"/>
                      <w:color w:val="000000"/>
                    </w:rPr>
                    <w:t>5.支持遥控器控制设备开关，方便教师操作</w:t>
                  </w:r>
                  <w:r>
                    <w:br/>
                  </w:r>
                  <w:r>
                    <w:rPr>
                      <w:rFonts w:ascii="仿宋_GB2312" w:hAnsi="仿宋_GB2312" w:cs="仿宋_GB2312" w:eastAsia="仿宋_GB2312"/>
                      <w:sz w:val="18"/>
                      <w:color w:val="000000"/>
                    </w:rPr>
                    <w:t>6.需提供CQC产品认证证书</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独立回路安全控制</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理化生虚拟仿真系统</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个</w:t>
                  </w: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一、高中基础课程部分</w:t>
                  </w:r>
                  <w:r>
                    <w:br/>
                  </w:r>
                  <w:r>
                    <w:rPr>
                      <w:rFonts w:ascii="仿宋_GB2312" w:hAnsi="仿宋_GB2312" w:cs="仿宋_GB2312" w:eastAsia="仿宋_GB2312"/>
                      <w:sz w:val="18"/>
                      <w:color w:val="000000"/>
                    </w:rPr>
                    <w:t>VR课程资源需实现，让体验者能够以第一人称的方式进入到虚拟场景中，身临其境般体验。提供的资源所创造或模拟的事物与环境真实而生动，使得体验者可以自由活动和探索虚拟世界，可以获得对客观事物的各种感性或理性认识，有助于激发人的抽象思维和研究性思维，从而深化概念和建造新的构想与创意，课程资源需要覆盖：物理，化学，生物，红色爱国，航空航天，文化历史、安全教育等，课程总数量不少于300节。</w:t>
                  </w:r>
                  <w:r>
                    <w:br/>
                  </w:r>
                  <w:r>
                    <w:rPr>
                      <w:rFonts w:ascii="仿宋_GB2312" w:hAnsi="仿宋_GB2312" w:cs="仿宋_GB2312" w:eastAsia="仿宋_GB2312"/>
                      <w:sz w:val="18"/>
                      <w:color w:val="000000"/>
                    </w:rPr>
                    <w:t>1.高中物理： 卢瑟福原子模型；汤姆森原子模型；原子核的大小和核密度；电镀、高斯定理的应用、欧姆定律、固体的分子运动论；液体的分子运动论；核聚变；阿基米德原理；次声学和超声学等</w:t>
                  </w:r>
                  <w:r>
                    <w:br/>
                  </w:r>
                  <w:r>
                    <w:rPr>
                      <w:rFonts w:ascii="仿宋_GB2312" w:hAnsi="仿宋_GB2312" w:cs="仿宋_GB2312" w:eastAsia="仿宋_GB2312"/>
                      <w:sz w:val="18"/>
                      <w:color w:val="000000"/>
                    </w:rPr>
                    <w:t>2.高中化学：共价键；化合价；摩尔分数 ；形成离子化合物的有利因素-第一部分；有利于形成离子化合物的因素；碱金属的化学性质；碱金属的物理性质；金属氧化物与酸的反应；金属碳酸盐与酸的反应；二氧化硫的化学性质等</w:t>
                  </w:r>
                  <w:r>
                    <w:br/>
                  </w:r>
                  <w:r>
                    <w:rPr>
                      <w:rFonts w:ascii="仿宋_GB2312" w:hAnsi="仿宋_GB2312" w:cs="仿宋_GB2312" w:eastAsia="仿宋_GB2312"/>
                      <w:sz w:val="18"/>
                      <w:color w:val="000000"/>
                    </w:rPr>
                    <w:t>3.高中生物：单糖和二糖；植物的呼吸作用；减数分裂；基因工程的应用；胰岛素在细胞代谢中的作用；外分泌腺和内分泌腺；尿液的形成；臭氧层；空气污染；白细胞的功能；有丝分裂；女性生殖系统；男性生殖系统；病毒的类型；皮肤；消化与排泄系统等</w:t>
                  </w:r>
                  <w:r>
                    <w:br/>
                  </w:r>
                  <w:r>
                    <w:rPr>
                      <w:rFonts w:ascii="仿宋_GB2312" w:hAnsi="仿宋_GB2312" w:cs="仿宋_GB2312" w:eastAsia="仿宋_GB2312"/>
                      <w:sz w:val="18"/>
                      <w:color w:val="000000"/>
                    </w:rPr>
                    <w:t>4.高中数学：等差数列的前n项和；指数和对数；集合的类型； 全集和子集；圆锥体体积 ；空间两点间距离公式；轨迹；构建：外公切线  ；三角形的种类；构建三角形（已知：底角和周长）；三角形的构建（已知：底、顶角和相应的高线）；构建三角形（已知：底边、顶角和相应的中线）等</w:t>
                  </w:r>
                  <w:r>
                    <w:br/>
                  </w:r>
                  <w:r>
                    <w:rPr>
                      <w:rFonts w:ascii="仿宋_GB2312" w:hAnsi="仿宋_GB2312" w:cs="仿宋_GB2312" w:eastAsia="仿宋_GB2312"/>
                      <w:sz w:val="18"/>
                      <w:color w:val="000000"/>
                    </w:rPr>
                    <w:t>二、高中理化生实验部分</w:t>
                  </w:r>
                  <w:r>
                    <w:br/>
                  </w:r>
                  <w:r>
                    <w:rPr>
                      <w:rFonts w:ascii="仿宋_GB2312" w:hAnsi="仿宋_GB2312" w:cs="仿宋_GB2312" w:eastAsia="仿宋_GB2312"/>
                      <w:sz w:val="18"/>
                      <w:color w:val="000000"/>
                    </w:rPr>
                    <w:t>VR实验交互软件均采用主流引擎制作，</w:t>
                  </w:r>
                  <w:r>
                    <w:rPr>
                      <w:rFonts w:ascii="仿宋_GB2312" w:hAnsi="仿宋_GB2312" w:cs="仿宋_GB2312" w:eastAsia="仿宋_GB2312"/>
                      <w:sz w:val="18"/>
                      <w:color w:val="000000"/>
                    </w:rPr>
                    <w:t>所有模型均经过烘焙的三维仿真模型</w:t>
                  </w:r>
                  <w:r>
                    <w:rPr>
                      <w:rFonts w:ascii="仿宋_GB2312" w:hAnsi="仿宋_GB2312" w:cs="仿宋_GB2312" w:eastAsia="仿宋_GB2312"/>
                      <w:sz w:val="18"/>
                      <w:color w:val="000000"/>
                    </w:rPr>
                    <w:t>，仿真度高，具备高沉浸感满足日常实验教学需求，软件采用互动教学模式，所有体验者能够以第一人称的方式进入到虚拟场景中，身临其境般体验。要求提供与物理、化学、生物课程中知识点同步。</w:t>
                  </w:r>
                  <w:r>
                    <w:br/>
                  </w:r>
                  <w:r>
                    <w:rPr>
                      <w:rFonts w:ascii="仿宋_GB2312" w:hAnsi="仿宋_GB2312" w:cs="仿宋_GB2312" w:eastAsia="仿宋_GB2312"/>
                      <w:sz w:val="18"/>
                      <w:color w:val="000000"/>
                    </w:rPr>
                    <w:t>1.所有实验课程操作均支持在无互联网环境下可以正常操作使用</w:t>
                  </w:r>
                  <w:r>
                    <w:br/>
                  </w:r>
                  <w:r>
                    <w:rPr>
                      <w:rFonts w:ascii="仿宋_GB2312" w:hAnsi="仿宋_GB2312" w:cs="仿宋_GB2312" w:eastAsia="仿宋_GB2312"/>
                      <w:sz w:val="18"/>
                      <w:color w:val="000000"/>
                    </w:rPr>
                    <w:t>2.老师可通过教学管理系统端对学生端进行整体控制，包含但不限于VR一体机一键关机， 实验课程一键开启、关闭，内容播控，实时监控等</w:t>
                  </w:r>
                  <w:r>
                    <w:br/>
                  </w:r>
                  <w:r>
                    <w:rPr>
                      <w:rFonts w:ascii="仿宋_GB2312" w:hAnsi="仿宋_GB2312" w:cs="仿宋_GB2312" w:eastAsia="仿宋_GB2312"/>
                      <w:sz w:val="18"/>
                      <w:color w:val="000000"/>
                    </w:rPr>
                    <w:t>3.在实验课程中需显示实验目的，本实验所需要主要仪器及药品</w:t>
                  </w:r>
                  <w:r>
                    <w:br/>
                  </w:r>
                  <w:r>
                    <w:rPr>
                      <w:rFonts w:ascii="仿宋_GB2312" w:hAnsi="仿宋_GB2312" w:cs="仿宋_GB2312" w:eastAsia="仿宋_GB2312"/>
                      <w:sz w:val="18"/>
                      <w:color w:val="000000"/>
                    </w:rPr>
                    <w:t>4.在实验课程中需显示实验现象、实验步骤、实验结论等内容，同时有语音解说，方便老师和学生快速了解具体实验内容，提高教学效率。</w:t>
                  </w:r>
                  <w:r>
                    <w:br/>
                  </w:r>
                  <w:r>
                    <w:rPr>
                      <w:rFonts w:ascii="仿宋_GB2312" w:hAnsi="仿宋_GB2312" w:cs="仿宋_GB2312" w:eastAsia="仿宋_GB2312"/>
                      <w:sz w:val="18"/>
                      <w:color w:val="000000"/>
                    </w:rPr>
                    <w:t>5.在实验课程中提供实验重新开始；系统提供高度的探究性操作类实验，学生可以自主探究</w:t>
                  </w:r>
                  <w:r>
                    <w:br/>
                  </w:r>
                  <w:r>
                    <w:rPr>
                      <w:rFonts w:ascii="仿宋_GB2312" w:hAnsi="仿宋_GB2312" w:cs="仿宋_GB2312" w:eastAsia="仿宋_GB2312"/>
                      <w:sz w:val="18"/>
                      <w:color w:val="000000"/>
                    </w:rPr>
                    <w:t>6.提供可交互操作的内容，老师和学生可以通过 6DOF VR一体机手柄对实验内容进行交互操作在实验课程中有红色和绿色射线，绿色时可操作，同时手柄有震动反馈</w:t>
                  </w:r>
                  <w:r>
                    <w:br/>
                  </w:r>
                  <w:r>
                    <w:rPr>
                      <w:rFonts w:ascii="仿宋_GB2312" w:hAnsi="仿宋_GB2312" w:cs="仿宋_GB2312" w:eastAsia="仿宋_GB2312"/>
                      <w:sz w:val="18"/>
                      <w:color w:val="000000"/>
                    </w:rPr>
                    <w:t>7.提供可交互操作的内容，老师和学生可以通过 6DOF VR一体机手柄对实验内容进行交互操作，在实验课程中可以使用手柄摇杆对实验模型进行单独操作，可以前后位移，在位移过程中若出现实验仪器被遮挡可以使用手柄A键，使仪器一键归位</w:t>
                  </w:r>
                  <w:r>
                    <w:br/>
                  </w:r>
                  <w:r>
                    <w:rPr>
                      <w:rFonts w:ascii="仿宋_GB2312" w:hAnsi="仿宋_GB2312" w:cs="仿宋_GB2312" w:eastAsia="仿宋_GB2312"/>
                      <w:sz w:val="18"/>
                      <w:color w:val="000000"/>
                    </w:rPr>
                    <w:t>8.物理学科实验内容包含：学习打点计时器的使用，验证平行四边形定则，探究小车的加速度与力的关系，探究小车的加速度与质量的关系，探究功与速度变化关系，验证机械能守恒定律，学习螺旋测微器的使用，学习游标卡尺的使用，测量干电池的电动势和内阻等课程</w:t>
                  </w:r>
                  <w:r>
                    <w:br/>
                  </w:r>
                  <w:r>
                    <w:rPr>
                      <w:rFonts w:ascii="仿宋_GB2312" w:hAnsi="仿宋_GB2312" w:cs="仿宋_GB2312" w:eastAsia="仿宋_GB2312"/>
                      <w:sz w:val="18"/>
                      <w:color w:val="000000"/>
                    </w:rPr>
                    <w:t>9.化学学科实验内容包含：丁达尔效应实验，离子反应条件的探究实验，探究离子反应实验，钠在空气中缓慢氧化实验，钠的燃烧实验，钠与氯气反应实验，探究碳酸钠在水中的溶解性、酸碱性实验，探究碳酸氢钠在水中的溶解性、酸碱性实验，探究碳酸氢钠热稳定性实验，探究碳酸钠热稳定性实验，碳酸钠、碳酸钾焰色反应，一定溶质质量分数的氯化钠溶液的配置，铝与盐酸反应认识铝的化学性质，镁与水的反应实验，蔗糖中加入浓硫酸探究实验，浓硫酸与铜反应实验，实验室用氯化铵和氢氧化钙共热制氨气，氨气的喷泉实验，氢氧化钡晶体与氯化铵晶体反应中温度变化，中和反应反应热测定实验等课程</w:t>
                  </w:r>
                  <w:r>
                    <w:br/>
                  </w:r>
                  <w:r>
                    <w:rPr>
                      <w:rFonts w:ascii="仿宋_GB2312" w:hAnsi="仿宋_GB2312" w:cs="仿宋_GB2312" w:eastAsia="仿宋_GB2312"/>
                      <w:sz w:val="18"/>
                      <w:color w:val="000000"/>
                    </w:rPr>
                    <w:t>10.生物学科实验内容包含：检测生物组织中的糖类、脂肪和蛋白质 ，高倍镜观察几种细胞 ，探究植物细胞的吸水和失水，比较过氧化氢酶在不同条件下的分解情况，探究淀粉酶对淀粉和蔗糖水解作用 ，观察植物细胞的有丝分裂，微生物的实验室培养，DNA的粗提取与鉴定等课程</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普高理化生专用</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全环境</w:t>
                  </w:r>
                  <w:r>
                    <w:rPr>
                      <w:rFonts w:ascii="仿宋_GB2312" w:hAnsi="仿宋_GB2312" w:cs="仿宋_GB2312" w:eastAsia="仿宋_GB2312"/>
                      <w:sz w:val="18"/>
                      <w:color w:val="000000"/>
                    </w:rPr>
                    <w:t>VR多端播控系统</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个</w:t>
                  </w: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1.支持无外网的场景：无外网互联网接入可正常使用</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同时支持</w:t>
                  </w:r>
                  <w:r>
                    <w:rPr>
                      <w:rFonts w:ascii="仿宋_GB2312" w:hAnsi="仿宋_GB2312" w:cs="仿宋_GB2312" w:eastAsia="仿宋_GB2312"/>
                      <w:sz w:val="18"/>
                      <w:color w:val="000000"/>
                    </w:rPr>
                    <w:t>65台以上学生使用 VR 设备在线播控</w:t>
                  </w:r>
                  <w:r>
                    <w:br/>
                  </w:r>
                  <w:r>
                    <w:rPr>
                      <w:rFonts w:ascii="仿宋_GB2312" w:hAnsi="仿宋_GB2312" w:cs="仿宋_GB2312" w:eastAsia="仿宋_GB2312"/>
                      <w:sz w:val="18"/>
                      <w:color w:val="000000"/>
                    </w:rPr>
                    <w:t>3.采用纯净版系统，免除游戏、影视等非学习资源对学生的干扰</w:t>
                  </w:r>
                  <w:r>
                    <w:br/>
                  </w:r>
                  <w:r>
                    <w:rPr>
                      <w:rFonts w:ascii="仿宋_GB2312" w:hAnsi="仿宋_GB2312" w:cs="仿宋_GB2312" w:eastAsia="仿宋_GB2312"/>
                      <w:sz w:val="18"/>
                      <w:color w:val="000000"/>
                    </w:rPr>
                    <w:t>4.受控模式：控制端可以控制多台设备，且使PC端和头显端同步播放</w:t>
                  </w:r>
                  <w:r>
                    <w:br/>
                  </w:r>
                  <w:r>
                    <w:rPr>
                      <w:rFonts w:ascii="仿宋_GB2312" w:hAnsi="仿宋_GB2312" w:cs="仿宋_GB2312" w:eastAsia="仿宋_GB2312"/>
                      <w:sz w:val="18"/>
                      <w:color w:val="000000"/>
                    </w:rPr>
                    <w:t>5.自由模式：未播控状态，头显端不受控制，自由选择内容</w:t>
                  </w:r>
                  <w:r>
                    <w:br/>
                  </w:r>
                  <w:r>
                    <w:rPr>
                      <w:rFonts w:ascii="仿宋_GB2312" w:hAnsi="仿宋_GB2312" w:cs="仿宋_GB2312" w:eastAsia="仿宋_GB2312"/>
                      <w:sz w:val="18"/>
                      <w:color w:val="000000"/>
                    </w:rPr>
                    <w:t>6.支持多种形式：支持VR视频体验，支持各形式VR内容多级分类查找，快速搜索VR内容</w:t>
                  </w:r>
                  <w:r>
                    <w:br/>
                  </w:r>
                  <w:r>
                    <w:rPr>
                      <w:rFonts w:ascii="仿宋_GB2312" w:hAnsi="仿宋_GB2312" w:cs="仿宋_GB2312" w:eastAsia="仿宋_GB2312"/>
                      <w:sz w:val="18"/>
                      <w:color w:val="000000"/>
                    </w:rPr>
                    <w:t>7.查看管理：控制端实时获取各个VR设备的运行状态，在线离线状态查看，实时查看各个VR设备电量信息，实时控制各个VR设备音量，一键关闭/重启所有VR设备，并支持批量或单个设备一键重置视野</w:t>
                  </w:r>
                  <w:r>
                    <w:br/>
                  </w:r>
                  <w:r>
                    <w:rPr>
                      <w:rFonts w:ascii="仿宋_GB2312" w:hAnsi="仿宋_GB2312" w:cs="仿宋_GB2312" w:eastAsia="仿宋_GB2312"/>
                      <w:sz w:val="18"/>
                      <w:color w:val="000000"/>
                    </w:rPr>
                    <w:t>8.资源筛选：按学科进行与课标课程名称的对应分类，可根据课程名搜索快速定位课程资源</w:t>
                  </w:r>
                  <w:r>
                    <w:br/>
                  </w:r>
                  <w:r>
                    <w:rPr>
                      <w:rFonts w:ascii="仿宋_GB2312" w:hAnsi="仿宋_GB2312" w:cs="仿宋_GB2312" w:eastAsia="仿宋_GB2312"/>
                      <w:sz w:val="18"/>
                      <w:color w:val="000000"/>
                    </w:rPr>
                    <w:t>9.分组播控：可进行组划分，同时播控实现多课程分组运行</w:t>
                  </w:r>
                  <w:r>
                    <w:br/>
                  </w:r>
                  <w:r>
                    <w:rPr>
                      <w:rFonts w:ascii="仿宋_GB2312" w:hAnsi="仿宋_GB2312" w:cs="仿宋_GB2312" w:eastAsia="仿宋_GB2312"/>
                      <w:sz w:val="18"/>
                      <w:color w:val="000000"/>
                    </w:rPr>
                    <w:t>10.屏蔽所有非学习相关的 VR 影视、游戏等内容</w:t>
                  </w:r>
                  <w:r>
                    <w:br/>
                  </w:r>
                  <w:r>
                    <w:rPr>
                      <w:rFonts w:ascii="仿宋_GB2312" w:hAnsi="仿宋_GB2312" w:cs="仿宋_GB2312" w:eastAsia="仿宋_GB2312"/>
                      <w:sz w:val="18"/>
                      <w:color w:val="000000"/>
                    </w:rPr>
                    <w:t>11.多语言界面，支持中文和英文</w:t>
                  </w:r>
                  <w:r>
                    <w:br/>
                  </w:r>
                  <w:r>
                    <w:rPr>
                      <w:rFonts w:ascii="仿宋_GB2312" w:hAnsi="仿宋_GB2312" w:cs="仿宋_GB2312" w:eastAsia="仿宋_GB2312"/>
                      <w:sz w:val="18"/>
                      <w:color w:val="000000"/>
                    </w:rPr>
                    <w:t>12、画面监控：可监控连接的VR一体机设备，显示用户互动体验的视频画面</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教学秩序保障核心软件</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31"/>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VR 实训室智慧管理平台</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1.身份认证管理系统</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1）授课教师通过独立的账号密码进行系统登录验证，无须依赖任何外部业务系统</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2）具备细粒度的角色权限管理，可针对普高部与中职部分配不同的功能菜单与数据权限</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3）提供密码重置、账号状态停用/启用等常规安全管理功能</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4）登录及关键操作日志自动后台留存，保障系统数据的安全性与操作的可追溯性</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构建独立安全的专属账号与权限体系</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vMerge/>
                  <w:tcBorders>
                    <w:top w:val="none" w:color="000000" w:sz="4"/>
                    <w:left w:val="single" w:color="000000" w:sz="4"/>
                    <w:bottom w:val="single" w:color="000000" w:sz="4"/>
                    <w:right w:val="single" w:color="000000" w:sz="4"/>
                  </w:tcBorders>
                </w:tcPr>
                <w:p/>
              </w:tc>
              <w:tc>
                <w:tcPr>
                  <w:tcW w:type="dxa" w:w="431"/>
                  <w:gridSpan w:val="3"/>
                  <w:vMerge/>
                  <w:tcBorders>
                    <w:top w:val="none" w:color="000000" w:sz="4"/>
                    <w:left w:val="single" w:color="000000" w:sz="4"/>
                    <w:bottom w:val="single" w:color="000000" w:sz="4"/>
                    <w:right w:val="single" w:color="000000" w:sz="4"/>
                  </w:tcBorders>
                </w:tcP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2.实训场地预约与调度系统</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1）提供直观的日历式排课视图，支持按学期、周、日进行跨学科场地在线预约</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2）具备智能排期冲突预警功能，同一时段同一实训场地被预约时系统自动拦截并提示</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3）系统自动统计各学科/教师的实训室使用频次，生成资源周转利用率统计</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4）预约审批流程可灵活配置，支持系统自动通过或管理员手动审核两种模式</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5）预约成功或发生变更后，系统内自动生成排课记录卡片与日程备忘提示</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科学统筹并精细化调度普职双部使用档期</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vMerge/>
                  <w:tcBorders>
                    <w:top w:val="none" w:color="000000" w:sz="4"/>
                    <w:left w:val="single" w:color="000000" w:sz="4"/>
                    <w:bottom w:val="single" w:color="000000" w:sz="4"/>
                    <w:right w:val="single" w:color="000000" w:sz="4"/>
                  </w:tcBorders>
                </w:tcPr>
                <w:p/>
              </w:tc>
              <w:tc>
                <w:tcPr>
                  <w:tcW w:type="dxa" w:w="431"/>
                  <w:gridSpan w:val="3"/>
                  <w:vMerge/>
                  <w:tcBorders>
                    <w:top w:val="none" w:color="000000" w:sz="4"/>
                    <w:left w:val="single" w:color="000000" w:sz="4"/>
                    <w:bottom w:val="single" w:color="000000" w:sz="4"/>
                    <w:right w:val="single" w:color="000000" w:sz="4"/>
                  </w:tcBorders>
                </w:tcP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3.设备可视化系统</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1）基于系统运行日志提取设备利用率（含使用总时长、使用频次、空闲统计）</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2）构建直观的系统态势看板，多维度图形化展示各学科设备使用占比与学情概览</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3）历史业务数据安全存储，支持按自定义时间段筛选并一键导出统计分析报表</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构建直观的实训室运行态势与资产可视化看板</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vMerge/>
                  <w:tcBorders>
                    <w:top w:val="none" w:color="000000" w:sz="4"/>
                    <w:left w:val="single" w:color="000000" w:sz="4"/>
                    <w:bottom w:val="single" w:color="000000" w:sz="4"/>
                    <w:right w:val="single" w:color="000000" w:sz="4"/>
                  </w:tcBorders>
                </w:tcPr>
                <w:p/>
              </w:tc>
              <w:tc>
                <w:tcPr>
                  <w:tcW w:type="dxa" w:w="431"/>
                  <w:gridSpan w:val="3"/>
                  <w:vMerge/>
                  <w:tcBorders>
                    <w:top w:val="none" w:color="000000" w:sz="4"/>
                    <w:left w:val="single" w:color="000000" w:sz="4"/>
                    <w:bottom w:val="single" w:color="000000" w:sz="4"/>
                    <w:right w:val="single" w:color="000000" w:sz="4"/>
                  </w:tcBorders>
                </w:tcP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4.普职实训记录系统</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1）根据学科属性自动识别，匹配普高理化生或中职汽修实操专属的数据记录模板</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2）普高类主要记录实验步骤规范性、探究时长与关键节点的完成情况</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3）中职类主要记录技能操作节点顺序、工艺达标情况与安全规范遵守度</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4）支持自定义评价指标，不同实训项目可设置差异化的评分考核权重</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5）实训交互数据自动分类留存，为生成个性化学情报告提供原始数据支撑</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针对不同学科精准采集并定制学情分析</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vMerge/>
                  <w:tcBorders>
                    <w:top w:val="none" w:color="000000" w:sz="4"/>
                    <w:left w:val="single" w:color="000000" w:sz="4"/>
                    <w:bottom w:val="single" w:color="000000" w:sz="4"/>
                    <w:right w:val="single" w:color="000000" w:sz="4"/>
                  </w:tcBorders>
                </w:tcPr>
                <w:p/>
              </w:tc>
              <w:tc>
                <w:tcPr>
                  <w:tcW w:type="dxa" w:w="431"/>
                  <w:gridSpan w:val="3"/>
                  <w:vMerge/>
                  <w:tcBorders>
                    <w:top w:val="none" w:color="000000" w:sz="4"/>
                    <w:left w:val="single" w:color="000000" w:sz="4"/>
                    <w:bottom w:val="single" w:color="000000" w:sz="4"/>
                    <w:right w:val="single" w:color="000000" w:sz="4"/>
                  </w:tcBorders>
                </w:tcP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5.实训评价与成绩导出系统</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1）自动记录并汇总学生在虚拟仿真考核中的成绩表现与操作扣分明细</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2）考核成绩支持按班级、按课程、按考核项目等多维度生成标准化的成绩汇总表</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3）提供一键下载、本地Excel导出及页面打印功能，方便教师进行电子化归档与查阅</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4）异常成绩（如缺考、未完成环节等）系统自动醒目标记，支持教师进行人工复核与修正</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5）支持历史考核成绩的追溯查询，满足日常教学质量评估的复盘需求</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实现考核成绩的独立汇总与电子化归档</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vMerge/>
                  <w:tcBorders>
                    <w:top w:val="none" w:color="000000" w:sz="4"/>
                    <w:left w:val="single" w:color="000000" w:sz="4"/>
                    <w:bottom w:val="single" w:color="000000" w:sz="4"/>
                    <w:right w:val="single" w:color="000000" w:sz="4"/>
                  </w:tcBorders>
                </w:tcPr>
                <w:p/>
              </w:tc>
              <w:tc>
                <w:tcPr>
                  <w:tcW w:type="dxa" w:w="431"/>
                  <w:gridSpan w:val="3"/>
                  <w:vMerge/>
                  <w:tcBorders>
                    <w:top w:val="none" w:color="000000" w:sz="4"/>
                    <w:left w:val="single" w:color="000000" w:sz="4"/>
                    <w:bottom w:val="single" w:color="000000" w:sz="4"/>
                    <w:right w:val="single" w:color="000000" w:sz="4"/>
                  </w:tcBorders>
                </w:tcP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6.设备报修与进度跟踪系统</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1）建立标准的线上工单流转体系，规范日常教学中的设备故障报修流程</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2）维修处理过程全程状态节点跟踪（待接单、处理中、已完成），进度状态实时更新</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3）维修完成后需报修人/管理员在系统内进行验收确认，验收通过方可规范关闭工单</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4）维修记录系统自动电子存档，支持按设备、按时间维度统计故障频次，生成维保台账</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构建标准化闭环式的设备维修跟进体系</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2811"/>
            </w:pPr>
            <w:r>
              <w:rPr>
                <w:rFonts w:ascii="仿宋_GB2312" w:hAnsi="仿宋_GB2312" w:cs="仿宋_GB2312" w:eastAsia="仿宋_GB2312"/>
                <w:sz w:val="28"/>
                <w:b/>
              </w:rPr>
              <w:t>宁强县职业高级中学</w:t>
            </w:r>
            <w:r>
              <w:rPr>
                <w:rFonts w:ascii="仿宋_GB2312" w:hAnsi="仿宋_GB2312" w:cs="仿宋_GB2312" w:eastAsia="仿宋_GB2312"/>
                <w:sz w:val="28"/>
                <w:b/>
              </w:rPr>
              <w:t>2026年教育智慧云枢平台采购清单</w:t>
            </w:r>
          </w:p>
          <w:tbl>
            <w:tblPr>
              <w:tblBorders>
                <w:top w:val="none" w:color="000000" w:sz="4"/>
                <w:left w:val="none" w:color="000000" w:sz="4"/>
                <w:bottom w:val="none" w:color="000000" w:sz="4"/>
                <w:right w:val="none" w:color="000000" w:sz="4"/>
                <w:insideH w:val="none"/>
                <w:insideV w:val="none"/>
              </w:tblBorders>
            </w:tblPr>
            <w:tblGrid>
              <w:gridCol w:w="136"/>
              <w:gridCol w:w="220"/>
              <w:gridCol w:w="203"/>
              <w:gridCol w:w="133"/>
              <w:gridCol w:w="1068"/>
              <w:gridCol w:w="664"/>
              <w:gridCol w:w="130"/>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技术参数</w:t>
                  </w:r>
                </w:p>
              </w:tc>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用途</w:t>
                  </w:r>
                </w:p>
              </w:tc>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高速扫描仪</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 类型：平板及馈纸式  </w:t>
                  </w:r>
                  <w:r>
                    <w:br/>
                  </w:r>
                  <w:r>
                    <w:rPr>
                      <w:rFonts w:ascii="仿宋_GB2312" w:hAnsi="仿宋_GB2312" w:cs="仿宋_GB2312" w:eastAsia="仿宋_GB2312"/>
                      <w:sz w:val="18"/>
                      <w:color w:val="000000"/>
                    </w:rPr>
                    <w:t xml:space="preserve">2. CCC强制性认证：是  </w:t>
                  </w:r>
                  <w:r>
                    <w:br/>
                  </w:r>
                  <w:r>
                    <w:rPr>
                      <w:rFonts w:ascii="仿宋_GB2312" w:hAnsi="仿宋_GB2312" w:cs="仿宋_GB2312" w:eastAsia="仿宋_GB2312"/>
                      <w:sz w:val="18"/>
                      <w:color w:val="000000"/>
                    </w:rPr>
                    <w:t xml:space="preserve">3. 最大幅面：A3  </w:t>
                  </w:r>
                  <w:r>
                    <w:br/>
                  </w:r>
                  <w:r>
                    <w:rPr>
                      <w:rFonts w:ascii="仿宋_GB2312" w:hAnsi="仿宋_GB2312" w:cs="仿宋_GB2312" w:eastAsia="仿宋_GB2312"/>
                      <w:sz w:val="18"/>
                      <w:color w:val="000000"/>
                    </w:rPr>
                    <w:t xml:space="preserve">4. 扫描方式：ADF（自动进纸器）/手动进纸/平板、双面  </w:t>
                  </w:r>
                  <w:r>
                    <w:br/>
                  </w:r>
                  <w:r>
                    <w:rPr>
                      <w:rFonts w:ascii="仿宋_GB2312" w:hAnsi="仿宋_GB2312" w:cs="仿宋_GB2312" w:eastAsia="仿宋_GB2312"/>
                      <w:sz w:val="18"/>
                      <w:color w:val="000000"/>
                    </w:rPr>
                    <w:t xml:space="preserve">5. 扫描速度：（A4横向）单面：100ppm（200/300dpi）双面：200ipm（200/300dpi）平板：0.6s（200/300dpi）（彩色/灰度/黑白）；（A4纵向）单面：80ppm（200/300dpi）双面：160ipm（200/300dpi）平板：0.9s（200/300dpi）  </w:t>
                  </w:r>
                  <w:r>
                    <w:br/>
                  </w:r>
                  <w:r>
                    <w:rPr>
                      <w:rFonts w:ascii="仿宋_GB2312" w:hAnsi="仿宋_GB2312" w:cs="仿宋_GB2312" w:eastAsia="仿宋_GB2312"/>
                      <w:sz w:val="18"/>
                      <w:color w:val="000000"/>
                    </w:rPr>
                    <w:t xml:space="preserve">6. 多文件格式输出：JPG、PDF、TIF、OFD  </w:t>
                  </w:r>
                  <w:r>
                    <w:br/>
                  </w:r>
                  <w:r>
                    <w:rPr>
                      <w:rFonts w:ascii="仿宋_GB2312" w:hAnsi="仿宋_GB2312" w:cs="仿宋_GB2312" w:eastAsia="仿宋_GB2312"/>
                      <w:sz w:val="18"/>
                      <w:color w:val="000000"/>
                    </w:rPr>
                    <w:t xml:space="preserve">7. 国产系统认证：完美适配主流国产OS，政府、金融等关键领域无缝对接，安全合规零门槛满足国产化办公室适用需求  </w:t>
                  </w:r>
                  <w:r>
                    <w:br/>
                  </w:r>
                  <w:r>
                    <w:rPr>
                      <w:rFonts w:ascii="仿宋_GB2312" w:hAnsi="仿宋_GB2312" w:cs="仿宋_GB2312" w:eastAsia="仿宋_GB2312"/>
                      <w:sz w:val="18"/>
                      <w:color w:val="000000"/>
                    </w:rPr>
                    <w:t xml:space="preserve">8. 接口：USB3.1Gen1/USB2.0/USB1.1  </w:t>
                  </w:r>
                  <w:r>
                    <w:br/>
                  </w:r>
                  <w:r>
                    <w:rPr>
                      <w:rFonts w:ascii="仿宋_GB2312" w:hAnsi="仿宋_GB2312" w:cs="仿宋_GB2312" w:eastAsia="仿宋_GB2312"/>
                      <w:sz w:val="18"/>
                      <w:color w:val="000000"/>
                    </w:rPr>
                    <w:t xml:space="preserve">9. 外观尺寸：706mm*500mm*345mm  </w:t>
                  </w:r>
                  <w:r>
                    <w:br/>
                  </w:r>
                  <w:r>
                    <w:rPr>
                      <w:rFonts w:ascii="仿宋_GB2312" w:hAnsi="仿宋_GB2312" w:cs="仿宋_GB2312" w:eastAsia="仿宋_GB2312"/>
                      <w:sz w:val="18"/>
                      <w:color w:val="000000"/>
                    </w:rPr>
                    <w:t xml:space="preserve">10. 重量：35kg  </w:t>
                  </w:r>
                  <w:r>
                    <w:br/>
                  </w:r>
                  <w:r>
                    <w:rPr>
                      <w:rFonts w:ascii="仿宋_GB2312" w:hAnsi="仿宋_GB2312" w:cs="仿宋_GB2312" w:eastAsia="仿宋_GB2312"/>
                      <w:sz w:val="18"/>
                      <w:color w:val="000000"/>
                    </w:rPr>
                    <w:t xml:space="preserve">11. 电源要求：AC100-240V交流电±10%  </w:t>
                  </w:r>
                  <w:r>
                    <w:br/>
                  </w:r>
                  <w:r>
                    <w:rPr>
                      <w:rFonts w:ascii="仿宋_GB2312" w:hAnsi="仿宋_GB2312" w:cs="仿宋_GB2312" w:eastAsia="仿宋_GB2312"/>
                      <w:sz w:val="18"/>
                      <w:color w:val="000000"/>
                    </w:rPr>
                    <w:t xml:space="preserve">12. 电源功率：工作模式：64W或更小；休眠模式：1.7W或更小；待机模式：0.3W或更小  </w:t>
                  </w:r>
                  <w:r>
                    <w:br/>
                  </w:r>
                  <w:r>
                    <w:rPr>
                      <w:rFonts w:ascii="仿宋_GB2312" w:hAnsi="仿宋_GB2312" w:cs="仿宋_GB2312" w:eastAsia="仿宋_GB2312"/>
                      <w:sz w:val="18"/>
                      <w:color w:val="000000"/>
                    </w:rPr>
                    <w:t xml:space="preserve">13. 操作环境：温度：5至35°C（41至95°F）；相对湿度：20%至80%（无凝结）  </w:t>
                  </w:r>
                  <w:r>
                    <w:br/>
                  </w:r>
                  <w:r>
                    <w:rPr>
                      <w:rFonts w:ascii="仿宋_GB2312" w:hAnsi="仿宋_GB2312" w:cs="仿宋_GB2312" w:eastAsia="仿宋_GB2312"/>
                      <w:sz w:val="18"/>
                      <w:color w:val="000000"/>
                    </w:rPr>
                    <w:t xml:space="preserve">14. 图像传感器：彩色CDD3（正面1，背面1，平板1）  </w:t>
                  </w:r>
                  <w:r>
                    <w:br/>
                  </w:r>
                  <w:r>
                    <w:rPr>
                      <w:rFonts w:ascii="仿宋_GB2312" w:hAnsi="仿宋_GB2312" w:cs="仿宋_GB2312" w:eastAsia="仿宋_GB2312"/>
                      <w:sz w:val="18"/>
                      <w:color w:val="000000"/>
                    </w:rPr>
                    <w:t xml:space="preserve">15. 光源：白色LED灯组6（前面2，后面2，平板2）  </w:t>
                  </w:r>
                  <w:r>
                    <w:br/>
                  </w:r>
                  <w:r>
                    <w:rPr>
                      <w:rFonts w:ascii="仿宋_GB2312" w:hAnsi="仿宋_GB2312" w:cs="仿宋_GB2312" w:eastAsia="仿宋_GB2312"/>
                      <w:sz w:val="18"/>
                      <w:color w:val="000000"/>
                    </w:rPr>
                    <w:t xml:space="preserve">16. 光学分辨率：600dpi  </w:t>
                  </w:r>
                  <w:r>
                    <w:br/>
                  </w:r>
                  <w:r>
                    <w:rPr>
                      <w:rFonts w:ascii="仿宋_GB2312" w:hAnsi="仿宋_GB2312" w:cs="仿宋_GB2312" w:eastAsia="仿宋_GB2312"/>
                      <w:sz w:val="18"/>
                      <w:color w:val="000000"/>
                    </w:rPr>
                    <w:t xml:space="preserve">17. 输出分辨率：（彩色/灰度/黑白）50至600dpi（以1dpi为单位进行调整）、1200dpi（驱动程序）  </w:t>
                  </w:r>
                  <w:r>
                    <w:br/>
                  </w:r>
                  <w:r>
                    <w:rPr>
                      <w:rFonts w:ascii="仿宋_GB2312" w:hAnsi="仿宋_GB2312" w:cs="仿宋_GB2312" w:eastAsia="仿宋_GB2312"/>
                      <w:sz w:val="18"/>
                      <w:color w:val="000000"/>
                    </w:rPr>
                    <w:t xml:space="preserve">18. 输出格式：彩色：24位；灰度：8位；黑白：1位  </w:t>
                  </w:r>
                  <w:r>
                    <w:br/>
                  </w:r>
                  <w:r>
                    <w:rPr>
                      <w:rFonts w:ascii="仿宋_GB2312" w:hAnsi="仿宋_GB2312" w:cs="仿宋_GB2312" w:eastAsia="仿宋_GB2312"/>
                      <w:sz w:val="18"/>
                      <w:color w:val="000000"/>
                    </w:rPr>
                    <w:t xml:space="preserve">19. 背景颜色：ADF：白/黑（可选择切换）；平板：白（黑背景为选件）  </w:t>
                  </w:r>
                  <w:r>
                    <w:br/>
                  </w:r>
                  <w:r>
                    <w:rPr>
                      <w:rFonts w:ascii="仿宋_GB2312" w:hAnsi="仿宋_GB2312" w:cs="仿宋_GB2312" w:eastAsia="仿宋_GB2312"/>
                      <w:sz w:val="18"/>
                      <w:color w:val="000000"/>
                    </w:rPr>
                    <w:t xml:space="preserve">20. 纸张大小：最大：304.8*431.8mm；最小：50.8*69mm；长页扫描：5588mm；平板：304.8*457.2mm  </w:t>
                  </w:r>
                  <w:r>
                    <w:br/>
                  </w:r>
                  <w:r>
                    <w:rPr>
                      <w:rFonts w:ascii="仿宋_GB2312" w:hAnsi="仿宋_GB2312" w:cs="仿宋_GB2312" w:eastAsia="仿宋_GB2312"/>
                      <w:sz w:val="18"/>
                      <w:color w:val="000000"/>
                    </w:rPr>
                    <w:t xml:space="preserve">21. 纸张重量：纸张：20-413g/m²（5.3-110lb）；小册子A8：128-209g/m²；塑料卡片：1.4mm或以下  </w:t>
                  </w:r>
                  <w:r>
                    <w:br/>
                  </w:r>
                  <w:r>
                    <w:rPr>
                      <w:rFonts w:ascii="仿宋_GB2312" w:hAnsi="仿宋_GB2312" w:cs="仿宋_GB2312" w:eastAsia="仿宋_GB2312"/>
                      <w:sz w:val="18"/>
                      <w:color w:val="000000"/>
                    </w:rPr>
                    <w:t xml:space="preserve">22. ADF容量：300张（A4 80g/m²或20lb）  </w:t>
                  </w:r>
                  <w:r>
                    <w:br/>
                  </w:r>
                  <w:r>
                    <w:rPr>
                      <w:rFonts w:ascii="仿宋_GB2312" w:hAnsi="仿宋_GB2312" w:cs="仿宋_GB2312" w:eastAsia="仿宋_GB2312"/>
                      <w:sz w:val="18"/>
                      <w:color w:val="000000"/>
                    </w:rPr>
                    <w:t xml:space="preserve">23. 重张检测：重叠检测（超声波传感器）、长度检测  </w:t>
                  </w:r>
                  <w:r>
                    <w:br/>
                  </w:r>
                  <w:r>
                    <w:rPr>
                      <w:rFonts w:ascii="仿宋_GB2312" w:hAnsi="仿宋_GB2312" w:cs="仿宋_GB2312" w:eastAsia="仿宋_GB2312"/>
                      <w:sz w:val="18"/>
                      <w:color w:val="000000"/>
                    </w:rPr>
                    <w:t xml:space="preserve">24. 纸张保护：卡纸检测，声音检测（ISOP）  </w:t>
                  </w:r>
                  <w:r>
                    <w:br/>
                  </w:r>
                  <w:r>
                    <w:rPr>
                      <w:rFonts w:ascii="仿宋_GB2312" w:hAnsi="仿宋_GB2312" w:cs="仿宋_GB2312" w:eastAsia="仿宋_GB2312"/>
                      <w:sz w:val="18"/>
                      <w:color w:val="000000"/>
                    </w:rPr>
                    <w:t xml:space="preserve">25. 支持的操作系统：Windows11, Windows10, WindowsServer2022, WindowsServer2019, WindowsServer2016, WindowsServer2012R2, WindowsServer2012, 统信，银河麒麟  </w:t>
                  </w:r>
                  <w:r>
                    <w:br/>
                  </w:r>
                  <w:r>
                    <w:rPr>
                      <w:rFonts w:ascii="仿宋_GB2312" w:hAnsi="仿宋_GB2312" w:cs="仿宋_GB2312" w:eastAsia="仿宋_GB2312"/>
                      <w:sz w:val="18"/>
                      <w:color w:val="000000"/>
                    </w:rPr>
                    <w:t xml:space="preserve">26. 捆绑的软件/驱动：PapeStreamIPDriver(TWAIN/TWAINx64/SIS), WiADriver, lmageScannerDriverformacoS(ICA), OperationPanel, ErrorRecoveryGuide, ABBYYFineReaderforScanSnap", ScannerCentralAdminServer  </w:t>
                  </w:r>
                  <w:r>
                    <w:br/>
                  </w:r>
                  <w:r>
                    <w:rPr>
                      <w:rFonts w:ascii="仿宋_GB2312" w:hAnsi="仿宋_GB2312" w:cs="仿宋_GB2312" w:eastAsia="仿宋_GB2312"/>
                      <w:sz w:val="18"/>
                      <w:color w:val="000000"/>
                    </w:rPr>
                    <w:t xml:space="preserve">27. 环境认证：ENERGYSTAR*/ROHS  </w:t>
                  </w:r>
                  <w:r>
                    <w:br/>
                  </w:r>
                  <w:r>
                    <w:rPr>
                      <w:rFonts w:ascii="仿宋_GB2312" w:hAnsi="仿宋_GB2312" w:cs="仿宋_GB2312" w:eastAsia="仿宋_GB2312"/>
                      <w:sz w:val="18"/>
                      <w:color w:val="000000"/>
                    </w:rPr>
                    <w:t xml:space="preserve">28. 图像处理功能：多图像输出、自动检测颜色、检测空白页、动态阈值（iDTC)、高级DTC、SDTC模式、误差扩散、带标签截剪、上下分割、纠偏、页边修复、减少竖线、边缘裁剪、静芯阅值、分割长页  </w:t>
                  </w:r>
                  <w:r>
                    <w:br/>
                  </w:r>
                  <w:r>
                    <w:rPr>
                      <w:rFonts w:ascii="仿宋_GB2312" w:hAnsi="仿宋_GB2312" w:cs="仿宋_GB2312" w:eastAsia="仿宋_GB2312"/>
                      <w:sz w:val="18"/>
                      <w:color w:val="000000"/>
                    </w:rPr>
                    <w:t xml:space="preserve">29. 随机附件：叠纸器、ADF进纸器、电源线、电源适配器、USB线、安装光盘    </w:t>
                  </w:r>
                  <w:r>
                    <w:br/>
                  </w:r>
                  <w:r>
                    <w:rPr>
                      <w:rFonts w:ascii="仿宋_GB2312" w:hAnsi="仿宋_GB2312" w:cs="仿宋_GB2312" w:eastAsia="仿宋_GB2312"/>
                      <w:sz w:val="18"/>
                      <w:color w:val="000000"/>
                    </w:rPr>
                    <w:t xml:space="preserve">30. 选件：黑背景板PA03338-D960；黑色平板背景板  </w:t>
                  </w:r>
                  <w:r>
                    <w:br/>
                  </w:r>
                  <w:r>
                    <w:rPr>
                      <w:rFonts w:ascii="仿宋_GB2312" w:hAnsi="仿宋_GB2312" w:cs="仿宋_GB2312" w:eastAsia="仿宋_GB2312"/>
                      <w:sz w:val="18"/>
                      <w:color w:val="000000"/>
                    </w:rPr>
                    <w:t>31. 耗材：制动轮PA03740-K010（250,000张纸或一年）；抓纸轮PA03740-K011（250,000张纸或一年）</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支撑教育智慧云枢平台</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手绘板</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1.压感级别 16K级</w:t>
                  </w:r>
                  <w:r>
                    <w:br/>
                  </w:r>
                  <w:r>
                    <w:rPr>
                      <w:rFonts w:ascii="仿宋_GB2312" w:hAnsi="仿宋_GB2312" w:cs="仿宋_GB2312" w:eastAsia="仿宋_GB2312"/>
                      <w:sz w:val="18"/>
                      <w:color w:val="000000"/>
                    </w:rPr>
                    <w:t>2.准确度： ±0.3mm</w:t>
                  </w:r>
                  <w:r>
                    <w:br/>
                  </w:r>
                  <w:r>
                    <w:rPr>
                      <w:rFonts w:ascii="仿宋_GB2312" w:hAnsi="仿宋_GB2312" w:cs="仿宋_GB2312" w:eastAsia="仿宋_GB2312"/>
                      <w:sz w:val="18"/>
                      <w:color w:val="000000"/>
                    </w:rPr>
                    <w:t>3.倾角识别： ±60°</w:t>
                  </w:r>
                  <w:r>
                    <w:br/>
                  </w:r>
                  <w:r>
                    <w:rPr>
                      <w:rFonts w:ascii="仿宋_GB2312" w:hAnsi="仿宋_GB2312" w:cs="仿宋_GB2312" w:eastAsia="仿宋_GB2312"/>
                      <w:sz w:val="18"/>
                      <w:color w:val="000000"/>
                    </w:rPr>
                    <w:t>4.接口：Type-c</w:t>
                  </w:r>
                  <w:r>
                    <w:br/>
                  </w:r>
                  <w:r>
                    <w:rPr>
                      <w:rFonts w:ascii="仿宋_GB2312" w:hAnsi="仿宋_GB2312" w:cs="仿宋_GB2312" w:eastAsia="仿宋_GB2312"/>
                      <w:sz w:val="18"/>
                      <w:color w:val="000000"/>
                    </w:rPr>
                    <w:t>5.专业压感笔，USB数据线，原装笔芯</w:t>
                  </w:r>
                  <w:r>
                    <w:br/>
                  </w:r>
                  <w:r>
                    <w:rPr>
                      <w:rFonts w:ascii="仿宋_GB2312" w:hAnsi="仿宋_GB2312" w:cs="仿宋_GB2312" w:eastAsia="仿宋_GB2312"/>
                      <w:sz w:val="18"/>
                      <w:color w:val="000000"/>
                    </w:rPr>
                    <w:t>6.蓝牙版</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支撑教育智慧云枢平台</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激光多功能打印机</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1.CCC强制性认证：是</w:t>
                  </w:r>
                  <w:r>
                    <w:br/>
                  </w:r>
                  <w:r>
                    <w:rPr>
                      <w:rFonts w:ascii="仿宋_GB2312" w:hAnsi="仿宋_GB2312" w:cs="仿宋_GB2312" w:eastAsia="仿宋_GB2312"/>
                      <w:sz w:val="18"/>
                      <w:color w:val="000000"/>
                    </w:rPr>
                    <w:t>2.机器类型：彩色激光</w:t>
                  </w:r>
                  <w:r>
                    <w:br/>
                  </w:r>
                  <w:r>
                    <w:rPr>
                      <w:rFonts w:ascii="仿宋_GB2312" w:hAnsi="仿宋_GB2312" w:cs="仿宋_GB2312" w:eastAsia="仿宋_GB2312"/>
                      <w:sz w:val="18"/>
                      <w:color w:val="000000"/>
                    </w:rPr>
                    <w:t>3.打印功能：自动双面</w:t>
                  </w:r>
                  <w:r>
                    <w:br/>
                  </w:r>
                  <w:r>
                    <w:rPr>
                      <w:rFonts w:ascii="仿宋_GB2312" w:hAnsi="仿宋_GB2312" w:cs="仿宋_GB2312" w:eastAsia="仿宋_GB2312"/>
                      <w:sz w:val="18"/>
                      <w:color w:val="000000"/>
                    </w:rPr>
                    <w:t>4.复印功能：彩色自动批量复印</w:t>
                  </w:r>
                  <w:r>
                    <w:br/>
                  </w:r>
                  <w:r>
                    <w:rPr>
                      <w:rFonts w:ascii="仿宋_GB2312" w:hAnsi="仿宋_GB2312" w:cs="仿宋_GB2312" w:eastAsia="仿宋_GB2312"/>
                      <w:sz w:val="18"/>
                      <w:color w:val="000000"/>
                    </w:rPr>
                    <w:t>5.支持页宽：A3 A4 A5</w:t>
                  </w:r>
                  <w:r>
                    <w:br/>
                  </w:r>
                  <w:r>
                    <w:rPr>
                      <w:rFonts w:ascii="仿宋_GB2312" w:hAnsi="仿宋_GB2312" w:cs="仿宋_GB2312" w:eastAsia="仿宋_GB2312"/>
                      <w:sz w:val="18"/>
                      <w:color w:val="000000"/>
                    </w:rPr>
                    <w:t>6.彩色打印速度：45页/分钟</w:t>
                  </w:r>
                  <w:r>
                    <w:br/>
                  </w:r>
                  <w:r>
                    <w:rPr>
                      <w:rFonts w:ascii="仿宋_GB2312" w:hAnsi="仿宋_GB2312" w:cs="仿宋_GB2312" w:eastAsia="仿宋_GB2312"/>
                      <w:sz w:val="18"/>
                      <w:color w:val="000000"/>
                    </w:rPr>
                    <w:t>6.黑白打印速度：45页/分钟</w:t>
                  </w:r>
                  <w:r>
                    <w:br/>
                  </w:r>
                  <w:r>
                    <w:rPr>
                      <w:rFonts w:ascii="仿宋_GB2312" w:hAnsi="仿宋_GB2312" w:cs="仿宋_GB2312" w:eastAsia="仿宋_GB2312"/>
                      <w:sz w:val="18"/>
                      <w:color w:val="000000"/>
                    </w:rPr>
                    <w:t>7.基础功能：打印 复印 扫描</w:t>
                  </w:r>
                  <w:r>
                    <w:br/>
                  </w:r>
                  <w:r>
                    <w:rPr>
                      <w:rFonts w:ascii="仿宋_GB2312" w:hAnsi="仿宋_GB2312" w:cs="仿宋_GB2312" w:eastAsia="仿宋_GB2312"/>
                      <w:sz w:val="18"/>
                      <w:color w:val="000000"/>
                    </w:rPr>
                    <w:t>8.内存：4GB</w:t>
                  </w:r>
                  <w:r>
                    <w:br/>
                  </w:r>
                  <w:r>
                    <w:rPr>
                      <w:rFonts w:ascii="仿宋_GB2312" w:hAnsi="仿宋_GB2312" w:cs="仿宋_GB2312" w:eastAsia="仿宋_GB2312"/>
                      <w:sz w:val="18"/>
                      <w:color w:val="000000"/>
                    </w:rPr>
                    <w:t>9.连接方式：有线USB</w:t>
                  </w:r>
                  <w:r>
                    <w:br/>
                  </w:r>
                  <w:r>
                    <w:rPr>
                      <w:rFonts w:ascii="仿宋_GB2312" w:hAnsi="仿宋_GB2312" w:cs="仿宋_GB2312" w:eastAsia="仿宋_GB2312"/>
                      <w:sz w:val="18"/>
                      <w:color w:val="000000"/>
                    </w:rPr>
                    <w:t>10.OCR光学字符识别，扫描文件可直接存储为可编辑的WORD、EXCEL、PDF等文件</w:t>
                  </w:r>
                  <w:r>
                    <w:br/>
                  </w:r>
                  <w:r>
                    <w:rPr>
                      <w:rFonts w:ascii="仿宋_GB2312" w:hAnsi="仿宋_GB2312" w:cs="仿宋_GB2312" w:eastAsia="仿宋_GB2312"/>
                      <w:sz w:val="18"/>
                      <w:color w:val="000000"/>
                    </w:rPr>
                    <w:t>11.10.1英寸彩色智能多点触控屏，可缩放、拖拽、移动、预览图片,以及实现调序、翻转、删除等功能,操作体验更佳。</w:t>
                  </w:r>
                  <w:r>
                    <w:br/>
                  </w:r>
                  <w:r>
                    <w:rPr>
                      <w:rFonts w:ascii="仿宋_GB2312" w:hAnsi="仿宋_GB2312" w:cs="仿宋_GB2312" w:eastAsia="仿宋_GB2312"/>
                      <w:sz w:val="18"/>
                      <w:color w:val="000000"/>
                    </w:rPr>
                    <w:t>12.顺序调整：打印有线与打印中断功能</w:t>
                  </w:r>
                  <w:r>
                    <w:br/>
                  </w:r>
                  <w:r>
                    <w:rPr>
                      <w:rFonts w:ascii="仿宋_GB2312" w:hAnsi="仿宋_GB2312" w:cs="仿宋_GB2312" w:eastAsia="仿宋_GB2312"/>
                      <w:sz w:val="18"/>
                      <w:color w:val="000000"/>
                    </w:rPr>
                    <w:t>13.减震消能阻尼纸盒保护：关闭纸盒时,只需轻轻一推,纸盒即可自动吸附,减少震动,保护机器,延长使用寿命。</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支撑教育智慧云枢平台</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平台服务器</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1.型号：4U 机架式服务器</w:t>
                  </w:r>
                  <w:r>
                    <w:br/>
                  </w:r>
                  <w:r>
                    <w:rPr>
                      <w:rFonts w:ascii="仿宋_GB2312" w:hAnsi="仿宋_GB2312" w:cs="仿宋_GB2312" w:eastAsia="仿宋_GB2312"/>
                      <w:sz w:val="18"/>
                      <w:color w:val="000000"/>
                    </w:rPr>
                    <w:t>2.处理器：2 颗</w:t>
                  </w:r>
                  <w:r>
                    <w:br/>
                  </w:r>
                  <w:r>
                    <w:rPr>
                      <w:rFonts w:ascii="仿宋_GB2312" w:hAnsi="仿宋_GB2312" w:cs="仿宋_GB2312" w:eastAsia="仿宋_GB2312"/>
                      <w:sz w:val="18"/>
                      <w:color w:val="000000"/>
                    </w:rPr>
                    <w:t>3.内存：2 根 32G</w:t>
                  </w:r>
                  <w:r>
                    <w:br/>
                  </w:r>
                  <w:r>
                    <w:rPr>
                      <w:rFonts w:ascii="仿宋_GB2312" w:hAnsi="仿宋_GB2312" w:cs="仿宋_GB2312" w:eastAsia="仿宋_GB2312"/>
                      <w:sz w:val="18"/>
                      <w:color w:val="000000"/>
                    </w:rPr>
                    <w:t>4.硬盘：1 块 ≥8T</w:t>
                  </w:r>
                  <w:r>
                    <w:br/>
                  </w:r>
                  <w:r>
                    <w:rPr>
                      <w:rFonts w:ascii="仿宋_GB2312" w:hAnsi="仿宋_GB2312" w:cs="仿宋_GB2312" w:eastAsia="仿宋_GB2312"/>
                      <w:sz w:val="18"/>
                      <w:color w:val="000000"/>
                    </w:rPr>
                    <w:t>5.阵列卡：730-8I 2G缓存</w:t>
                  </w:r>
                  <w:r>
                    <w:br/>
                  </w:r>
                  <w:r>
                    <w:rPr>
                      <w:rFonts w:ascii="仿宋_GB2312" w:hAnsi="仿宋_GB2312" w:cs="仿宋_GB2312" w:eastAsia="仿宋_GB2312"/>
                      <w:sz w:val="18"/>
                      <w:color w:val="000000"/>
                    </w:rPr>
                    <w:t>6.网口：不低于四口千兆网卡</w:t>
                  </w:r>
                  <w:r>
                    <w:br/>
                  </w:r>
                  <w:r>
                    <w:rPr>
                      <w:rFonts w:ascii="仿宋_GB2312" w:hAnsi="仿宋_GB2312" w:cs="仿宋_GB2312" w:eastAsia="仿宋_GB2312"/>
                      <w:sz w:val="18"/>
                      <w:color w:val="000000"/>
                    </w:rPr>
                    <w:t xml:space="preserve">7.电源：2 个1100W </w:t>
                  </w:r>
                  <w:r>
                    <w:br/>
                  </w:r>
                  <w:r>
                    <w:rPr>
                      <w:rFonts w:ascii="仿宋_GB2312" w:hAnsi="仿宋_GB2312" w:cs="仿宋_GB2312" w:eastAsia="仿宋_GB2312"/>
                      <w:sz w:val="18"/>
                      <w:color w:val="000000"/>
                    </w:rPr>
                    <w:t>8.导轨：1套</w:t>
                  </w:r>
                  <w:r>
                    <w:br/>
                  </w:r>
                  <w:r>
                    <w:rPr>
                      <w:rFonts w:ascii="仿宋_GB2312" w:hAnsi="仿宋_GB2312" w:cs="仿宋_GB2312" w:eastAsia="仿宋_GB2312"/>
                      <w:sz w:val="18"/>
                      <w:color w:val="000000"/>
                    </w:rPr>
                    <w:t xml:space="preserve">9.显示器：无       </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支撑教育智慧云枢平台</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56"/>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基础支撑平台</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1.基础数据系统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专业与班级的层级关联管理，为后续试卷的精准投放、线下考试名单生成及成绩归档提供核心组织模型；维护学科分类及题型定义。支持单选题、判断题、简答题等题型库的标准化分类，作为题库内容组织与检索的基础。</w:t>
                  </w:r>
                </w:p>
              </w:tc>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2.文件管理系统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文件上传：支持题库文件、学生信息文件上传；(2)文件存储：将上传的文件保存到指定目录；(3)文件下载：提供导出文件下载功能；(4)文件路径管理：管理文件的存储路径；(5)文件类型验证：验证上传文件的类型；(6)文件大小限制：限制上传文件的大小；(7)文件清理：清理临时或过期文件。</w:t>
                  </w:r>
                </w:p>
              </w:tc>
              <w:tc>
                <w:tcPr>
                  <w:tcW w:type="dxa" w:w="130"/>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3.数据管理系统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成绩导出：将考试成绩导出为Excel文件；(2)试卷导出：将试卷内容导出为PDF或Word文件；(3)题目导出：将题库题目导出为文本文件；(4)学生信息导出：导出学生信息列表；(5)文件下载：提供Web界面的文件下载功能；(6)导出格式支持：支持Excel、PDF、Word、TXT等多种格式；(7).通过文件批量导入班级信息、老师信息、学生信息更新至基础数据系统</w:t>
                  </w:r>
                </w:p>
              </w:tc>
              <w:tc>
                <w:tcPr>
                  <w:tcW w:type="dxa" w:w="130"/>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4.日志管理系统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日志记录：使用Log4j2记录系统运行日志；(2)操作日志：记录用户的关键操作；(3)错误日志：记录系统错误和异常；(4)日志级别：支持不同级别的日志（DEBUG、INFO、WARN、ERROR）；(5)日志输出：输出到控制台和文件；(6)日志配置：通过log4j2.xml配置日志；(7)日志查看：管理员可以查看系统日志</w:t>
                  </w:r>
                </w:p>
              </w:tc>
              <w:tc>
                <w:tcPr>
                  <w:tcW w:type="dxa" w:w="130"/>
                  <w:vMerge/>
                  <w:tcBorders>
                    <w:top w:val="none" w:color="000000" w:sz="4"/>
                    <w:left w:val="single" w:color="000000" w:sz="4"/>
                    <w:bottom w:val="single" w:color="000000" w:sz="4"/>
                    <w:right w:val="single" w:color="000000" w:sz="4"/>
                  </w:tcBorders>
                </w:tcP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56"/>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用户管理平台</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1.教师信息系统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(1)教师登录：通过账号和密码登录系统，验证教师身份；(2)教师登出：安全退出系统；(3)修改密码：教师可以修改自己的登录密码；(4)教师信息管理：维护教师的基本信息如姓名、性别、班级等。</w:t>
                  </w:r>
                </w:p>
              </w:tc>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2.超级管理员信息系统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是平台的最高权限控制中枢，集中管控所有用户与权限。它不仅能够创建并管理所有管理员和教师账户，还能直接分配和自定义每位管理员的模块操作权限（如用户管理、数据审核等），并实时监控整个系统的操作日志与安全状态</w:t>
                  </w:r>
                </w:p>
              </w:tc>
              <w:tc>
                <w:tcPr>
                  <w:tcW w:type="dxa" w:w="130"/>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3.管理员信息系统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理员登录：通过账号和密码登录系统，验证管理员身份；(2)管理员登出：安全退出系统；(3)修改密码：管理员可以修改自己的登录密码；(4)管理员信息管理：维护管理员的基本信息如ID、部门、管理的权限等。</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4.学生信息系统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教师可以通过</w:t>
                  </w:r>
                  <w:r>
                    <w:rPr>
                      <w:rFonts w:ascii="仿宋_GB2312" w:hAnsi="仿宋_GB2312" w:cs="仿宋_GB2312" w:eastAsia="仿宋_GB2312"/>
                      <w:sz w:val="18"/>
                      <w:color w:val="000000"/>
                    </w:rPr>
                    <w:t>excel表格批量导入学生信息，并可以对学生信息进行增删改查，维护学生的基本信息：学号、班级、姓名、性别、家长联系方式等。</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5.用户管理系统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管理员可全量维护系统用户信息，支持账号创建、专业班级绑定及批量管理。支持通过多维度条件快速检索用户，确保教务数据的准确性。</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6.权限管理系统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(1)基于 RBAC 模型的权限管理体系。超级管理员、管理员可灵活定义角色权限，系统通过后端 AOP 拦截与前端路由守卫双重保障操作的合法性与安全；(2)角色区分：区分教师/管理员/超级管理员三种角色；(3)权限验证：验证用户是否有权访问特定功能；(4)权限检查：在关键操作前检查用户权限。</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7.认证与会话管理系统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处理用户登录、登出请求。管理用户登录会话状态、会话超时，并拦截未认证用户的访问请求，提供基本的</w:t>
                  </w:r>
                  <w:r>
                    <w:rPr>
                      <w:rFonts w:ascii="仿宋_GB2312" w:hAnsi="仿宋_GB2312" w:cs="仿宋_GB2312" w:eastAsia="仿宋_GB2312"/>
                      <w:sz w:val="18"/>
                      <w:color w:val="000000"/>
                    </w:rPr>
                    <w:t>Web安全防护。</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56"/>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题库管理平台</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1.题库管理系统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支持富文本题目录入，涵盖题干、选项、标准答案及详细解析。每道题均设有难度系数指标，为高质量试卷的生成提供数据支持。</w:t>
                  </w:r>
                  <w:r>
                    <w:rPr>
                      <w:rFonts w:ascii="仿宋_GB2312" w:hAnsi="仿宋_GB2312" w:cs="仿宋_GB2312" w:eastAsia="仿宋_GB2312"/>
                      <w:sz w:val="18"/>
                      <w:color w:val="000000"/>
                    </w:rPr>
                    <w:t>(1)选择题管理：管理单选题和多选题，包含题目内容、选项、正确答案、知识点等信息；(2)填空题管理：管理填空题，支持多个填空位置，每个位置有标准答案；(3)判断题管理：管理判断题，包含题目内容和正确/错误答案。</w:t>
                  </w:r>
                </w:p>
              </w:tc>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2.图像导入系统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教师上传单张或批量试题图片，系统后台自动进行文字识别与版面分析，将识别结果以可编辑的文本形式呈现。在识别文字的同时，对题干语义进行分析，自动推荐一个或多个相关的知识点树节点，供教师快速选择。教师在校正界面中，可对识别出的文本进行修改、润色，确认题目结构（如选择题选项分割），并从推荐的知识点中选择或手动搜索关联，最终补充难度、答案等属性后提交入库。</w:t>
                  </w:r>
                </w:p>
              </w:tc>
              <w:tc>
                <w:tcPr>
                  <w:tcW w:type="dxa" w:w="130"/>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3.手动录入系统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图文、公式、表格混排，满足数学、物理、化学等学科的特殊格式要求。提供与常用办公软件类似的编辑体验。引导教师完整填写题型、难度、标准答案、详细解析、预估答题时间等所有元数据。教师通过浏览或搜索知识点树，精准地为题目挂载一个或多个知识点标签。基于一道已有试题，教师可快速复制并修改题干、选项或参数，生成新的</w:t>
                  </w:r>
                  <w:r>
                    <w:rPr>
                      <w:rFonts w:ascii="仿宋_GB2312" w:hAnsi="仿宋_GB2312" w:cs="仿宋_GB2312" w:eastAsia="仿宋_GB2312"/>
                      <w:sz w:val="18"/>
                      <w:color w:val="000000"/>
                    </w:rPr>
                    <w:t>“变式题”，同时继承原题的知识点关联，极大地提升了同类题目的编制效率。</w:t>
                  </w:r>
                </w:p>
              </w:tc>
              <w:tc>
                <w:tcPr>
                  <w:tcW w:type="dxa" w:w="130"/>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4.条件搜索系统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可以按照题目内容、知识点、答案等条件搜索题库中符合条件的试题信息，并查看查看题目的完整信息和答案。</w:t>
                  </w:r>
                </w:p>
              </w:tc>
              <w:tc>
                <w:tcPr>
                  <w:tcW w:type="dxa" w:w="130"/>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5.试题分析系统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题目统计：统计题库中各题型的数量分布；(2)知识点统计：统计各知识点的题目数量；(3)题目难度分析：分析题目的难度分布；(4)题目使用率：统计各题目被使用的次数；(5)题目正确率：统计各题目的答题正确率；(6)答题扇形图：使用JFreeChart生成题目类型分布扇形图。</w:t>
                  </w:r>
                </w:p>
              </w:tc>
              <w:tc>
                <w:tcPr>
                  <w:tcW w:type="dxa" w:w="130"/>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6.知识点录入系统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专注于知识体系框架的初始构建与数据创建。提供界面供教师创建新的知识点条目，输入基础信息。在创建或编辑时，支持指定父节点，以初步形成树状分类结构。完成知识点的初次数字化定义，作为知识体系的数据源头。</w:t>
                  </w:r>
                </w:p>
              </w:tc>
              <w:tc>
                <w:tcPr>
                  <w:tcW w:type="dxa" w:w="130"/>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7.知识点管理系统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对已创建的知识点进行排序等操作，构建与维护完整的树状知识点图谱。为知识点设定权重，用于量化分析。将题目关联到具体的一个或多个知识点</w:t>
                  </w:r>
                  <w:r>
                    <w:rPr>
                      <w:rFonts w:ascii="仿宋_GB2312" w:hAnsi="仿宋_GB2312" w:cs="仿宋_GB2312" w:eastAsia="仿宋_GB2312"/>
                      <w:sz w:val="18"/>
                      <w:color w:val="000000"/>
                    </w:rPr>
                    <w:t>/考点上，建立题目与知识体系的核心链接。并执行知识点的添加、修改、删除等日常维护操作。</w:t>
                  </w:r>
                </w:p>
              </w:tc>
              <w:tc>
                <w:tcPr>
                  <w:tcW w:type="dxa" w:w="130"/>
                  <w:vMerge/>
                  <w:tcBorders>
                    <w:top w:val="none" w:color="000000" w:sz="4"/>
                    <w:left w:val="single" w:color="000000" w:sz="4"/>
                    <w:bottom w:val="single" w:color="000000" w:sz="4"/>
                    <w:right w:val="single" w:color="000000" w:sz="4"/>
                  </w:tcBorders>
                </w:tc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8.知识点关联系统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统计各知识点下关联的题目数量，并进行多维度分析（如按权重分布）。并以以树状图等可视化形式，直观展示知识点的完整层级结构与关联关系。</w:t>
                  </w:r>
                </w:p>
              </w:tc>
              <w:tc>
                <w:tcPr>
                  <w:tcW w:type="dxa" w:w="130"/>
                  <w:vMerge/>
                  <w:tcBorders>
                    <w:top w:val="none" w:color="000000" w:sz="4"/>
                    <w:left w:val="single" w:color="000000" w:sz="4"/>
                    <w:bottom w:val="single" w:color="000000" w:sz="4"/>
                    <w:right w:val="single" w:color="000000" w:sz="4"/>
                  </w:tcBorders>
                </w:tcP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56"/>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阅卷平台</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1.智能扫描系统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支持通过高速扫描仪将学生完成的纸质答题卡</w:t>
                  </w:r>
                  <w:r>
                    <w:rPr>
                      <w:rFonts w:ascii="仿宋_GB2312" w:hAnsi="仿宋_GB2312" w:cs="仿宋_GB2312" w:eastAsia="仿宋_GB2312"/>
                      <w:sz w:val="18"/>
                      <w:color w:val="000000"/>
                    </w:rPr>
                    <w:t>/试卷批量扫描入库。系统自动处理图像纠偏、去噪及条形码识别。集成 OCR（光学字符识别）技术，自动提取客观题填涂结果并实时判分。对于主观题，识别文字内容后进入智能辅助阅卷流程，将答题卡按照题目进行分割为各个部位方便教师批改。(1)硬件驱动集成：支持连接主流扫描仪，实现试卷批量扫描；(2)OCR文字识别：利用OCR技术识别学生考号、姓名及客观题选项；(3)试卷图像预处理：自动进行图像去噪、纠偏、裁剪，确保电子版试卷清晰度。</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2.学生身份匹配系统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通过条形码</w:t>
                  </w:r>
                  <w:r>
                    <w:rPr>
                      <w:rFonts w:ascii="仿宋_GB2312" w:hAnsi="仿宋_GB2312" w:cs="仿宋_GB2312" w:eastAsia="仿宋_GB2312"/>
                      <w:sz w:val="18"/>
                      <w:color w:val="000000"/>
                    </w:rPr>
                    <w:t>/准考证号自动将扫描件，根据条形码/准考证号的信息建立“扫描文件”与“学生实体”之间的强关联关系，关联至系统学生信息。</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3.线上阅卷系统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利用语义相似度算法，将扫描识别出的简答题文字与标准答案进行比对，给出参考评分。教师可在系统内通过查看原始扫描图像进行最终核对。</w:t>
                  </w:r>
                  <w:r>
                    <w:rPr>
                      <w:rFonts w:ascii="仿宋_GB2312" w:hAnsi="仿宋_GB2312" w:cs="仿宋_GB2312" w:eastAsia="仿宋_GB2312"/>
                      <w:sz w:val="18"/>
                      <w:color w:val="000000"/>
                    </w:rPr>
                    <w:t>(1)电子化批改工具：教师可在系统界面对扫描件进行勾选、划线、批注和赋分；(2)客观题自动阅卷：系统根据标准答案自动判定选择、判断题并计分。</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56"/>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试卷管理平台</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1.习题组卷系统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根据学生积累的错题，关联对应的知识点，为每个学生针对自身薄弱点生成个性化习题。</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2.考题手动组卷系统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教师可根据教学大纲，在题库中按知识点和难度精准筛选题目，手动编排试卷结构并设定各题分值，满足特定考试需求。</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3.随机组卷系统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根据组卷策略从题库中随机抽取题目，支持按题型和知识点随机抽题，从题库中瞬时随机抽取题目，快速生成练习卷或随堂测试卷。</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56"/>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数据可视化平台</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1.成绩分析系统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统计考试的平均分、最高分、最低分、及格率等，按成绩高低进行排名。使用</w:t>
                  </w:r>
                  <w:r>
                    <w:rPr>
                      <w:rFonts w:ascii="仿宋_GB2312" w:hAnsi="仿宋_GB2312" w:cs="仿宋_GB2312" w:eastAsia="仿宋_GB2312"/>
                      <w:sz w:val="18"/>
                      <w:color w:val="000000"/>
                    </w:rPr>
                    <w:t>JFreeChart生成成绩分布柱状图，直观展示成绩分布；记录和显示缺考学生名单。</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2.成绩查询系统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用户可以通过学号、姓名、班级、考试等多维度条件快速搜索和筛选成绩，系统将清晰展示所有学生的考试成绩列表。在获取所需数据后，系统提供强大的导出功能，支持将查询结果或统计报表以</w:t>
                  </w:r>
                  <w:r>
                    <w:rPr>
                      <w:rFonts w:ascii="仿宋_GB2312" w:hAnsi="仿宋_GB2312" w:cs="仿宋_GB2312" w:eastAsia="仿宋_GB2312"/>
                      <w:sz w:val="18"/>
                      <w:color w:val="000000"/>
                    </w:rPr>
                    <w:t>Excel、PDF等标准格式输出，便于存档、打印或进一步处理。</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vMerge/>
                  <w:tcBorders>
                    <w:top w:val="none" w:color="000000" w:sz="4"/>
                    <w:left w:val="single" w:color="000000" w:sz="4"/>
                    <w:bottom w:val="single" w:color="000000" w:sz="4"/>
                    <w:right w:val="single" w:color="000000" w:sz="4"/>
                  </w:tcBorders>
                </w:tcPr>
                <w:p/>
              </w:tc>
              <w:tc>
                <w:tcPr>
                  <w:tcW w:type="dxa" w:w="556"/>
                  <w:gridSpan w:val="3"/>
                  <w:vMerge/>
                  <w:tcBorders>
                    <w:top w:val="none" w:color="000000" w:sz="4"/>
                    <w:left w:val="single" w:color="000000" w:sz="4"/>
                    <w:bottom w:val="single" w:color="000000" w:sz="4"/>
                    <w:right w:val="single" w:color="000000" w:sz="4"/>
                  </w:tcBorders>
                </w:tcP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3.学情对比系统</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(1)支持不同班级间在同一知识点上的得分表现对比；(2)教师可直观查看学科知识点掌握程度图谱。基于扫描数据的精确统计，发现教学中存在的共性问题，为调整教学进度与出题方向提供科学依据。</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2249"/>
            </w:pPr>
            <w:r>
              <w:rPr>
                <w:rFonts w:ascii="仿宋_GB2312" w:hAnsi="仿宋_GB2312" w:cs="仿宋_GB2312" w:eastAsia="仿宋_GB2312"/>
                <w:sz w:val="28"/>
                <w:b/>
              </w:rPr>
              <w:t>宁强县职业高级中学</w:t>
            </w:r>
            <w:r>
              <w:rPr>
                <w:rFonts w:ascii="仿宋_GB2312" w:hAnsi="仿宋_GB2312" w:cs="仿宋_GB2312" w:eastAsia="仿宋_GB2312"/>
                <w:sz w:val="28"/>
                <w:b/>
              </w:rPr>
              <w:t>2026教师信息化素养提升及全业务平台应用培训清单</w:t>
            </w:r>
          </w:p>
          <w:tbl>
            <w:tblPr>
              <w:tblBorders>
                <w:top w:val="none" w:color="000000" w:sz="4"/>
                <w:left w:val="none" w:color="000000" w:sz="4"/>
                <w:bottom w:val="none" w:color="000000" w:sz="4"/>
                <w:right w:val="none" w:color="000000" w:sz="4"/>
                <w:insideH w:val="none"/>
                <w:insideV w:val="none"/>
              </w:tblBorders>
            </w:tblPr>
            <w:tblGrid>
              <w:gridCol w:w="107"/>
              <w:gridCol w:w="144"/>
              <w:gridCol w:w="104"/>
              <w:gridCol w:w="107"/>
              <w:gridCol w:w="665"/>
              <w:gridCol w:w="615"/>
              <w:gridCol w:w="599"/>
              <w:gridCol w:w="115"/>
              <w:gridCol w:w="81"/>
            </w:tblGrid>
            <w:tr>
              <w:tc>
                <w:tcPr>
                  <w:tcW w:type="dxa" w:w="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第一期培训（</w:t>
                  </w:r>
                  <w:r>
                    <w:rPr>
                      <w:rFonts w:ascii="仿宋_GB2312" w:hAnsi="仿宋_GB2312" w:cs="仿宋_GB2312" w:eastAsia="仿宋_GB2312"/>
                      <w:sz w:val="18"/>
                    </w:rPr>
                    <w:t>8个学时）</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第二期培训（</w:t>
                  </w:r>
                  <w:r>
                    <w:rPr>
                      <w:rFonts w:ascii="仿宋_GB2312" w:hAnsi="仿宋_GB2312" w:cs="仿宋_GB2312" w:eastAsia="仿宋_GB2312"/>
                      <w:sz w:val="18"/>
                    </w:rPr>
                    <w:t>8个学时）</w:t>
                  </w:r>
                </w:p>
              </w:tc>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第三期培训（</w:t>
                  </w:r>
                  <w:r>
                    <w:rPr>
                      <w:rFonts w:ascii="仿宋_GB2312" w:hAnsi="仿宋_GB2312" w:cs="仿宋_GB2312" w:eastAsia="仿宋_GB2312"/>
                      <w:sz w:val="18"/>
                    </w:rPr>
                    <w:t>8个学时）</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用途</w:t>
                  </w:r>
                </w:p>
              </w:tc>
              <w:tc>
                <w:tcPr>
                  <w:tcW w:type="dxa" w:w="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AI赋能语文学科教学专项培训课程</w:t>
                  </w:r>
                </w:p>
              </w:tc>
              <w:tc>
                <w:tcPr>
                  <w:tcW w:type="dxa" w:w="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期</w:t>
                  </w:r>
                </w:p>
              </w:tc>
              <w:tc>
                <w:tcPr>
                  <w:tcW w:type="dxa" w:w="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70%时间）</w:t>
                  </w:r>
                  <w:r>
                    <w:br/>
                  </w:r>
                  <w:r>
                    <w:rPr>
                      <w:rFonts w:ascii="仿宋_GB2312" w:hAnsi="仿宋_GB2312" w:cs="仿宋_GB2312" w:eastAsia="仿宋_GB2312"/>
                      <w:sz w:val="18"/>
                    </w:rPr>
                    <w:t>1.AI智能备课辅助：涵盖基于课程标准的课文宏观解读视角挖掘、多维教学目标体系的智能生成与建议输出，支持教学重难点的识别与初步教学设计框架搭建；</w:t>
                  </w:r>
                  <w:r>
                    <w:br/>
                  </w:r>
                  <w:r>
                    <w:rPr>
                      <w:rFonts w:ascii="仿宋_GB2312" w:hAnsi="仿宋_GB2312" w:cs="仿宋_GB2312" w:eastAsia="仿宋_GB2312"/>
                      <w:sz w:val="18"/>
                    </w:rPr>
                    <w:t>2.AI辅助写作教学框架：涵盖作文多维度智能批改提示模型的构建应用、优秀范文的智能匹配与针对性推荐策略，并提供批改结果的归类分析与个性化评语生成支持。</w:t>
                  </w:r>
                </w:p>
                <w:p>
                  <w:pPr>
                    <w:pStyle w:val="null3"/>
                    <w:jc w:val="left"/>
                  </w:pPr>
                  <w:r>
                    <w:br/>
                  </w:r>
                  <w:r>
                    <w:rPr>
                      <w:rFonts w:ascii="仿宋_GB2312" w:hAnsi="仿宋_GB2312" w:cs="仿宋_GB2312" w:eastAsia="仿宋_GB2312"/>
                      <w:sz w:val="18"/>
                    </w:rPr>
                    <w:t>二、实操演练（约占</w:t>
                  </w:r>
                  <w:r>
                    <w:rPr>
                      <w:rFonts w:ascii="仿宋_GB2312" w:hAnsi="仿宋_GB2312" w:cs="仿宋_GB2312" w:eastAsia="仿宋_GB2312"/>
                      <w:sz w:val="18"/>
                    </w:rPr>
                    <w:t>20%时间）</w:t>
                  </w:r>
                  <w:r>
                    <w:br/>
                  </w:r>
                  <w:r>
                    <w:rPr>
                      <w:rFonts w:ascii="仿宋_GB2312" w:hAnsi="仿宋_GB2312" w:cs="仿宋_GB2312" w:eastAsia="仿宋_GB2312"/>
                      <w:sz w:val="18"/>
                    </w:rPr>
                    <w:t>1.参训教师现场登录智能备课平台，完成一篇指定课文的AI备课全流程操作，包括目标生成、教学活动设计及教案导出；</w:t>
                  </w:r>
                  <w:r>
                    <w:br/>
                  </w:r>
                  <w:r>
                    <w:rPr>
                      <w:rFonts w:ascii="仿宋_GB2312" w:hAnsi="仿宋_GB2312" w:cs="仿宋_GB2312" w:eastAsia="仿宋_GB2312"/>
                      <w:sz w:val="18"/>
                    </w:rPr>
                    <w:t>2.使用AI写作辅助工具对1-2篇学生作文进行批改实操，体验智能评语生成与范文推荐功能。</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6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70%时间）</w:t>
                  </w:r>
                  <w:r>
                    <w:br/>
                  </w:r>
                  <w:r>
                    <w:rPr>
                      <w:rFonts w:ascii="仿宋_GB2312" w:hAnsi="仿宋_GB2312" w:cs="仿宋_GB2312" w:eastAsia="仿宋_GB2312"/>
                      <w:sz w:val="18"/>
                    </w:rPr>
                    <w:t>1.AI阅读资源自适应生成：涵盖基于学情数据驱动的分层阅读文本智能生成机制、拓展理解练习题的自动搭配设计，以及整本书阅读任务群的资源规划与推送策略；</w:t>
                  </w:r>
                  <w:r>
                    <w:br/>
                  </w:r>
                  <w:r>
                    <w:rPr>
                      <w:rFonts w:ascii="仿宋_GB2312" w:hAnsi="仿宋_GB2312" w:cs="仿宋_GB2312" w:eastAsia="仿宋_GB2312"/>
                      <w:sz w:val="18"/>
                    </w:rPr>
                    <w:t>2.AI课堂互动创新设计：涵盖古诗词情境化赏析的多模态呈现构建、语言表达互动训练的融合方案设计，并提供课堂即时反馈与互动效果评估的基础支撑能力。</w:t>
                  </w:r>
                </w:p>
                <w:p>
                  <w:pPr>
                    <w:pStyle w:val="null3"/>
                    <w:jc w:val="left"/>
                  </w:pPr>
                  <w:r>
                    <w:br/>
                  </w:r>
                  <w:r>
                    <w:rPr>
                      <w:rFonts w:ascii="仿宋_GB2312" w:hAnsi="仿宋_GB2312" w:cs="仿宋_GB2312" w:eastAsia="仿宋_GB2312"/>
                      <w:sz w:val="18"/>
                    </w:rPr>
                    <w:t>二、实操演练（约占</w:t>
                  </w:r>
                  <w:r>
                    <w:rPr>
                      <w:rFonts w:ascii="仿宋_GB2312" w:hAnsi="仿宋_GB2312" w:cs="仿宋_GB2312" w:eastAsia="仿宋_GB2312"/>
                      <w:sz w:val="18"/>
                    </w:rPr>
                    <w:t>20%时间）</w:t>
                  </w:r>
                  <w:r>
                    <w:br/>
                  </w:r>
                  <w:r>
                    <w:rPr>
                      <w:rFonts w:ascii="仿宋_GB2312" w:hAnsi="仿宋_GB2312" w:cs="仿宋_GB2312" w:eastAsia="仿宋_GB2312"/>
                      <w:sz w:val="18"/>
                    </w:rPr>
                    <w:t>1.参训教师利用AI阅读工具现场生成一份适合任教班级的分层阅读材料及配套阅读理解练习题；</w:t>
                  </w:r>
                  <w:r>
                    <w:br/>
                  </w:r>
                  <w:r>
                    <w:rPr>
                      <w:rFonts w:ascii="仿宋_GB2312" w:hAnsi="仿宋_GB2312" w:cs="仿宋_GB2312" w:eastAsia="仿宋_GB2312"/>
                      <w:sz w:val="18"/>
                    </w:rPr>
                    <w:t>2.分组设计一个AI赋能的古诗词课堂互动环节，现场演示并接受讲师点评优化。</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59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70%时间）</w:t>
                  </w:r>
                  <w:r>
                    <w:br/>
                  </w:r>
                  <w:r>
                    <w:rPr>
                      <w:rFonts w:ascii="仿宋_GB2312" w:hAnsi="仿宋_GB2312" w:cs="仿宋_GB2312" w:eastAsia="仿宋_GB2312"/>
                      <w:sz w:val="18"/>
                    </w:rPr>
                    <w:t>1.AI试卷分析与复习策略生成：涵盖基于热门考点的智能考情趋势分析、班级共性薄弱点的数据化定位，以及针对性的复习专题与微课资源智能推荐策略；</w:t>
                  </w:r>
                  <w:r>
                    <w:br/>
                  </w:r>
                  <w:r>
                    <w:rPr>
                      <w:rFonts w:ascii="仿宋_GB2312" w:hAnsi="仿宋_GB2312" w:cs="仿宋_GB2312" w:eastAsia="仿宋_GB2312"/>
                      <w:sz w:val="18"/>
                    </w:rPr>
                    <w:t>2.AI辅助作文升格指导：涵盖作文评分标准与智能评语的对标校准方法、基于个体学情的作文升格路径规划与范例推送，支持学生从“写完”到“写好”的精细化提升。</w:t>
                  </w:r>
                </w:p>
                <w:p>
                  <w:pPr>
                    <w:pStyle w:val="null3"/>
                    <w:jc w:val="left"/>
                  </w:pPr>
                  <w:r>
                    <w:br/>
                  </w:r>
                  <w:r>
                    <w:rPr>
                      <w:rFonts w:ascii="仿宋_GB2312" w:hAnsi="仿宋_GB2312" w:cs="仿宋_GB2312" w:eastAsia="仿宋_GB2312"/>
                      <w:sz w:val="18"/>
                    </w:rPr>
                    <w:t>二、实操演练（约占</w:t>
                  </w:r>
                  <w:r>
                    <w:rPr>
                      <w:rFonts w:ascii="仿宋_GB2312" w:hAnsi="仿宋_GB2312" w:cs="仿宋_GB2312" w:eastAsia="仿宋_GB2312"/>
                      <w:sz w:val="18"/>
                    </w:rPr>
                    <w:t>20%时间）</w:t>
                  </w:r>
                  <w:r>
                    <w:br/>
                  </w:r>
                  <w:r>
                    <w:rPr>
                      <w:rFonts w:ascii="仿宋_GB2312" w:hAnsi="仿宋_GB2312" w:cs="仿宋_GB2312" w:eastAsia="仿宋_GB2312"/>
                      <w:sz w:val="18"/>
                    </w:rPr>
                    <w:t>1.参训教师导入任教班级近期考试数据，利用AI生成一份班级语文复习建议报告；</w:t>
                  </w:r>
                  <w:r>
                    <w:br/>
                  </w:r>
                  <w:r>
                    <w:rPr>
                      <w:rFonts w:ascii="仿宋_GB2312" w:hAnsi="仿宋_GB2312" w:cs="仿宋_GB2312" w:eastAsia="仿宋_GB2312"/>
                      <w:sz w:val="18"/>
                    </w:rPr>
                    <w:t>2.选取一篇中等水平学生作文，使用AI进行升格指导实操，对比修改前后差异并总结教学策略。</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w:t>
                  </w:r>
                  <w:r>
                    <w:rPr>
                      <w:rFonts w:ascii="仿宋_GB2312" w:hAnsi="仿宋_GB2312" w:cs="仿宋_GB2312" w:eastAsia="仿宋_GB2312"/>
                      <w:sz w:val="18"/>
                    </w:rPr>
                    <w:t>“AI如何辅助职高语文复习与作文升格”进行分组研讨，分享学习心得与应用设想，由培训讲师现场答疑解惑。</w:t>
                  </w:r>
                </w:p>
              </w:tc>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AI赋能语文学科教育</w:t>
                  </w:r>
                </w:p>
              </w:tc>
              <w:tc>
                <w:tcPr>
                  <w:tcW w:type="dxa" w:w="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
                  <w:vMerge/>
                  <w:tcBorders>
                    <w:top w:val="none" w:color="000000" w:sz="4"/>
                    <w:left w:val="single" w:color="000000" w:sz="4"/>
                    <w:bottom w:val="single" w:color="000000" w:sz="4"/>
                    <w:right w:val="single" w:color="000000" w:sz="4"/>
                  </w:tcBorders>
                </w:tcPr>
                <w:p/>
              </w:tc>
              <w:tc>
                <w:tcPr>
                  <w:tcW w:type="dxa" w:w="144"/>
                  <w:vMerge/>
                  <w:tcBorders>
                    <w:top w:val="none" w:color="000000" w:sz="4"/>
                    <w:left w:val="single" w:color="000000" w:sz="4"/>
                    <w:bottom w:val="single" w:color="000000" w:sz="4"/>
                    <w:right w:val="single" w:color="000000" w:sz="4"/>
                  </w:tcBorders>
                </w:tcPr>
                <w:p/>
              </w:tc>
              <w:tc>
                <w:tcPr>
                  <w:tcW w:type="dxa" w:w="104"/>
                  <w:vMerge/>
                  <w:tcBorders>
                    <w:top w:val="none" w:color="000000" w:sz="4"/>
                    <w:left w:val="single" w:color="000000" w:sz="4"/>
                    <w:bottom w:val="single" w:color="000000" w:sz="4"/>
                    <w:right w:val="single" w:color="000000" w:sz="4"/>
                  </w:tcBorders>
                </w:tcPr>
                <w:p/>
              </w:tc>
              <w:tc>
                <w:tcPr>
                  <w:tcW w:type="dxa" w:w="107"/>
                  <w:vMerge/>
                  <w:tcBorders>
                    <w:top w:val="none" w:color="000000" w:sz="4"/>
                    <w:left w:val="single" w:color="000000" w:sz="4"/>
                    <w:bottom w:val="single" w:color="000000" w:sz="4"/>
                    <w:right w:val="single" w:color="000000" w:sz="4"/>
                  </w:tcBorders>
                </w:tcPr>
                <w:p/>
              </w:tc>
              <w:tc>
                <w:tcPr>
                  <w:tcW w:type="dxa" w:w="18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四、培训师资：</w:t>
                  </w:r>
                  <w:r>
                    <w:rPr>
                      <w:rFonts w:ascii="仿宋_GB2312" w:hAnsi="仿宋_GB2312" w:cs="仿宋_GB2312" w:eastAsia="仿宋_GB2312"/>
                      <w:sz w:val="18"/>
                    </w:rPr>
                    <w:t>副高级及以上职称且具有类似培训经验的专业人员，须提供任职所在单位的证明及职称证书，且不得与其他培训课程人员重复。</w:t>
                  </w:r>
                </w:p>
              </w:tc>
              <w:tc>
                <w:tcPr>
                  <w:tcW w:type="dxa" w:w="115"/>
                  <w:vMerge/>
                  <w:tcBorders>
                    <w:top w:val="none" w:color="000000" w:sz="4"/>
                    <w:left w:val="single" w:color="000000" w:sz="4"/>
                    <w:bottom w:val="single" w:color="000000" w:sz="4"/>
                    <w:right w:val="single" w:color="000000" w:sz="4"/>
                  </w:tcBorders>
                </w:tcPr>
                <w:p/>
              </w:tc>
              <w:tc>
                <w:tcPr>
                  <w:tcW w:type="dxa" w:w="81"/>
                  <w:vMerge/>
                  <w:tcBorders>
                    <w:top w:val="none" w:color="000000" w:sz="4"/>
                    <w:left w:val="single" w:color="000000" w:sz="4"/>
                    <w:bottom w:val="single" w:color="000000" w:sz="4"/>
                    <w:right w:val="single" w:color="000000" w:sz="4"/>
                  </w:tcBorders>
                </w:tcPr>
                <w:p/>
              </w:tc>
            </w:tr>
            <w:tr>
              <w:tc>
                <w:tcPr>
                  <w:tcW w:type="dxa" w:w="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AI赋能数学学科教学专项培训课程</w:t>
                  </w:r>
                </w:p>
              </w:tc>
              <w:tc>
                <w:tcPr>
                  <w:tcW w:type="dxa" w:w="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期</w:t>
                  </w:r>
                </w:p>
              </w:tc>
              <w:tc>
                <w:tcPr>
                  <w:tcW w:type="dxa" w:w="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70%时间）</w:t>
                  </w:r>
                  <w:r>
                    <w:br/>
                  </w:r>
                  <w:r>
                    <w:rPr>
                      <w:rFonts w:ascii="仿宋_GB2312" w:hAnsi="仿宋_GB2312" w:cs="仿宋_GB2312" w:eastAsia="仿宋_GB2312"/>
                      <w:sz w:val="18"/>
                    </w:rPr>
                    <w:t>1.AI智能题库应用：涵盖知识点与题目特征的精准匹配算法应用、分层弹性练习的自动化设计策略，以及基于难度梯度的变式题组智能生成与推送方案；</w:t>
                  </w:r>
                  <w:r>
                    <w:br/>
                  </w:r>
                  <w:r>
                    <w:rPr>
                      <w:rFonts w:ascii="仿宋_GB2312" w:hAnsi="仿宋_GB2312" w:cs="仿宋_GB2312" w:eastAsia="仿宋_GB2312"/>
                      <w:sz w:val="18"/>
                    </w:rPr>
                    <w:t>2.AI解题思路多维分析：涵盖典型例题的解题逻辑智能拆解与可视化展示方法、变式拓展题型的关联推荐策略，并提供错因归类与纠正性讲解的资源支持。</w:t>
                  </w:r>
                </w:p>
                <w:p>
                  <w:pPr>
                    <w:pStyle w:val="null3"/>
                    <w:jc w:val="left"/>
                  </w:pPr>
                  <w:r>
                    <w:br/>
                  </w:r>
                  <w:r>
                    <w:rPr>
                      <w:rFonts w:ascii="仿宋_GB2312" w:hAnsi="仿宋_GB2312" w:cs="仿宋_GB2312" w:eastAsia="仿宋_GB2312"/>
                      <w:sz w:val="18"/>
                    </w:rPr>
                    <w:t>二、实操演练（约占</w:t>
                  </w:r>
                  <w:r>
                    <w:rPr>
                      <w:rFonts w:ascii="仿宋_GB2312" w:hAnsi="仿宋_GB2312" w:cs="仿宋_GB2312" w:eastAsia="仿宋_GB2312"/>
                      <w:sz w:val="18"/>
                    </w:rPr>
                    <w:t>20%时间）</w:t>
                  </w:r>
                  <w:r>
                    <w:br/>
                  </w:r>
                  <w:r>
                    <w:rPr>
                      <w:rFonts w:ascii="仿宋_GB2312" w:hAnsi="仿宋_GB2312" w:cs="仿宋_GB2312" w:eastAsia="仿宋_GB2312"/>
                      <w:sz w:val="18"/>
                    </w:rPr>
                    <w:t>1.完成一次分层练习题组的智能生成；</w:t>
                  </w:r>
                  <w:r>
                    <w:br/>
                  </w:r>
                  <w:r>
                    <w:rPr>
                      <w:rFonts w:ascii="仿宋_GB2312" w:hAnsi="仿宋_GB2312" w:cs="仿宋_GB2312" w:eastAsia="仿宋_GB2312"/>
                      <w:sz w:val="18"/>
                    </w:rPr>
                    <w:t>2.选取一道典型例题，利用AI工具进行解题步骤拆解与变式题推荐实操，现场提交练习成果。</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6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70%时间）</w:t>
                  </w:r>
                  <w:r>
                    <w:br/>
                  </w:r>
                  <w:r>
                    <w:rPr>
                      <w:rFonts w:ascii="仿宋_GB2312" w:hAnsi="仿宋_GB2312" w:cs="仿宋_GB2312" w:eastAsia="仿宋_GB2312"/>
                      <w:sz w:val="18"/>
                    </w:rPr>
                    <w:t>1.AI学情动态诊断体系：根据所提供的薄弱知识点的数据化智能识别、学生个体学习路径的个性化建议生成，以及阶段性教学调整的决策支持能力；</w:t>
                  </w:r>
                  <w:r>
                    <w:br/>
                  </w:r>
                  <w:r>
                    <w:rPr>
                      <w:rFonts w:ascii="仿宋_GB2312" w:hAnsi="仿宋_GB2312" w:cs="仿宋_GB2312" w:eastAsia="仿宋_GB2312"/>
                      <w:sz w:val="18"/>
                    </w:rPr>
                    <w:t>2.AI辅助教学工具融合：涵盖几何画板等动态数学工具的智能协同演示方案、复杂数据模型的可视化处理与交互探究环境搭建，并支持与现有教学流程的无缝衔接。</w:t>
                  </w:r>
                </w:p>
                <w:p>
                  <w:pPr>
                    <w:pStyle w:val="null3"/>
                    <w:jc w:val="left"/>
                  </w:pPr>
                  <w:r>
                    <w:br/>
                  </w:r>
                  <w:r>
                    <w:rPr>
                      <w:rFonts w:ascii="仿宋_GB2312" w:hAnsi="仿宋_GB2312" w:cs="仿宋_GB2312" w:eastAsia="仿宋_GB2312"/>
                      <w:sz w:val="18"/>
                    </w:rPr>
                    <w:t>二、实操演练（约占</w:t>
                  </w:r>
                  <w:r>
                    <w:rPr>
                      <w:rFonts w:ascii="仿宋_GB2312" w:hAnsi="仿宋_GB2312" w:cs="仿宋_GB2312" w:eastAsia="仿宋_GB2312"/>
                      <w:sz w:val="18"/>
                    </w:rPr>
                    <w:t>20%时间）</w:t>
                  </w:r>
                  <w:r>
                    <w:br/>
                  </w:r>
                  <w:r>
                    <w:rPr>
                      <w:rFonts w:ascii="仿宋_GB2312" w:hAnsi="仿宋_GB2312" w:cs="仿宋_GB2312" w:eastAsia="仿宋_GB2312"/>
                      <w:sz w:val="18"/>
                    </w:rPr>
                    <w:t>1.生成学情诊断报告并进行解读；</w:t>
                  </w:r>
                  <w:r>
                    <w:br/>
                  </w:r>
                  <w:r>
                    <w:rPr>
                      <w:rFonts w:ascii="仿宋_GB2312" w:hAnsi="仿宋_GB2312" w:cs="仿宋_GB2312" w:eastAsia="仿宋_GB2312"/>
                      <w:sz w:val="18"/>
                    </w:rPr>
                    <w:t>2.使用动态数学工具结合AI辅助功能制作一个函数图像或几何变换的动态演示课件，现场展示并交流设计思路。</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59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70%时间）</w:t>
                  </w:r>
                  <w:r>
                    <w:br/>
                  </w:r>
                  <w:r>
                    <w:rPr>
                      <w:rFonts w:ascii="仿宋_GB2312" w:hAnsi="仿宋_GB2312" w:cs="仿宋_GB2312" w:eastAsia="仿宋_GB2312"/>
                      <w:sz w:val="18"/>
                    </w:rPr>
                    <w:t>1.数学专题复习辅助：涵盖历年真题考点分布的智能可视化呈现、针对特定题型（如函数应用、几何证明、函数）的解题模板提炼与强化训练包生成。</w:t>
                  </w:r>
                </w:p>
                <w:p>
                  <w:pPr>
                    <w:pStyle w:val="null3"/>
                    <w:jc w:val="left"/>
                  </w:pPr>
                  <w:r>
                    <w:br/>
                  </w:r>
                  <w:r>
                    <w:rPr>
                      <w:rFonts w:ascii="仿宋_GB2312" w:hAnsi="仿宋_GB2312" w:cs="仿宋_GB2312" w:eastAsia="仿宋_GB2312"/>
                      <w:sz w:val="18"/>
                    </w:rPr>
                    <w:t>二、实操演练（约占</w:t>
                  </w:r>
                  <w:r>
                    <w:rPr>
                      <w:rFonts w:ascii="仿宋_GB2312" w:hAnsi="仿宋_GB2312" w:cs="仿宋_GB2312" w:eastAsia="仿宋_GB2312"/>
                      <w:sz w:val="18"/>
                    </w:rPr>
                    <w:t>20%时间）</w:t>
                  </w:r>
                  <w:r>
                    <w:br/>
                  </w:r>
                  <w:r>
                    <w:rPr>
                      <w:rFonts w:ascii="仿宋_GB2312" w:hAnsi="仿宋_GB2312" w:cs="仿宋_GB2312" w:eastAsia="仿宋_GB2312"/>
                      <w:sz w:val="18"/>
                    </w:rPr>
                    <w:t>1.参训教师利用平台导入学生作业/考试错题数据，生成班级错题热力图及个人错题本范例；</w:t>
                  </w:r>
                  <w:r>
                    <w:br/>
                  </w:r>
                  <w:r>
                    <w:rPr>
                      <w:rFonts w:ascii="仿宋_GB2312" w:hAnsi="仿宋_GB2312" w:cs="仿宋_GB2312" w:eastAsia="仿宋_GB2312"/>
                      <w:sz w:val="18"/>
                    </w:rPr>
                    <w:t>2.针对某一高考高频考点，使用AI工具生成一份包含基础巩固与能力提升的阶梯式专题训练单。</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w:t>
                  </w:r>
                </w:p>
              </w:tc>
              <w:tc>
                <w:tcPr>
                  <w:tcW w:type="dxa" w:w="1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AI赋能数学学科教育</w:t>
                  </w:r>
                </w:p>
              </w:tc>
              <w:tc>
                <w:tcPr>
                  <w:tcW w:type="dxa" w:w="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
                  <w:vMerge/>
                  <w:tcBorders>
                    <w:top w:val="none" w:color="000000" w:sz="4"/>
                    <w:left w:val="single" w:color="000000" w:sz="4"/>
                    <w:bottom w:val="single" w:color="000000" w:sz="4"/>
                    <w:right w:val="single" w:color="000000" w:sz="4"/>
                  </w:tcBorders>
                </w:tcPr>
                <w:p/>
              </w:tc>
              <w:tc>
                <w:tcPr>
                  <w:tcW w:type="dxa" w:w="144"/>
                  <w:vMerge/>
                  <w:tcBorders>
                    <w:top w:val="none" w:color="000000" w:sz="4"/>
                    <w:left w:val="single" w:color="000000" w:sz="4"/>
                    <w:bottom w:val="single" w:color="000000" w:sz="4"/>
                    <w:right w:val="single" w:color="000000" w:sz="4"/>
                  </w:tcBorders>
                </w:tcPr>
                <w:p/>
              </w:tc>
              <w:tc>
                <w:tcPr>
                  <w:tcW w:type="dxa" w:w="104"/>
                  <w:vMerge/>
                  <w:tcBorders>
                    <w:top w:val="none" w:color="000000" w:sz="4"/>
                    <w:left w:val="single" w:color="000000" w:sz="4"/>
                    <w:bottom w:val="single" w:color="000000" w:sz="4"/>
                    <w:right w:val="single" w:color="000000" w:sz="4"/>
                  </w:tcBorders>
                </w:tcPr>
                <w:p/>
              </w:tc>
              <w:tc>
                <w:tcPr>
                  <w:tcW w:type="dxa" w:w="107"/>
                  <w:vMerge/>
                  <w:tcBorders>
                    <w:top w:val="none" w:color="000000" w:sz="4"/>
                    <w:left w:val="single" w:color="000000" w:sz="4"/>
                    <w:bottom w:val="single" w:color="000000" w:sz="4"/>
                    <w:right w:val="single" w:color="000000" w:sz="4"/>
                  </w:tcBorders>
                </w:tcPr>
                <w:p/>
              </w:tc>
              <w:tc>
                <w:tcPr>
                  <w:tcW w:type="dxa" w:w="18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四、培训师资：</w:t>
                  </w:r>
                  <w:r>
                    <w:rPr>
                      <w:rFonts w:ascii="仿宋_GB2312" w:hAnsi="仿宋_GB2312" w:cs="仿宋_GB2312" w:eastAsia="仿宋_GB2312"/>
                      <w:sz w:val="18"/>
                    </w:rPr>
                    <w:t>副高级及以上职称且具有类似培训经验的专业人员，须提供任职所在单位的证明及职称证书，且不得与其他培训课程人员重复。</w:t>
                  </w:r>
                </w:p>
              </w:tc>
              <w:tc>
                <w:tcPr>
                  <w:tcW w:type="dxa" w:w="115"/>
                  <w:vMerge/>
                  <w:tcBorders>
                    <w:top w:val="single" w:color="000000" w:sz="4"/>
                    <w:left w:val="single" w:color="000000" w:sz="4"/>
                    <w:bottom w:val="single" w:color="000000" w:sz="4"/>
                    <w:right w:val="single" w:color="000000" w:sz="4"/>
                  </w:tcBorders>
                </w:tcPr>
                <w:p/>
              </w:tc>
              <w:tc>
                <w:tcPr>
                  <w:tcW w:type="dxa" w:w="81"/>
                  <w:vMerge/>
                  <w:tcBorders>
                    <w:top w:val="single" w:color="000000" w:sz="4"/>
                    <w:left w:val="single" w:color="000000" w:sz="4"/>
                    <w:bottom w:val="single" w:color="000000" w:sz="4"/>
                    <w:right w:val="single" w:color="000000" w:sz="4"/>
                  </w:tcBorders>
                </w:tcPr>
                <w:p/>
              </w:tc>
            </w:tr>
            <w:tr>
              <w:tc>
                <w:tcPr>
                  <w:tcW w:type="dxa" w:w="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AI赋能英语学科教学专项培训课程</w:t>
                  </w:r>
                </w:p>
              </w:tc>
              <w:tc>
                <w:tcPr>
                  <w:tcW w:type="dxa" w:w="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期</w:t>
                  </w:r>
                </w:p>
              </w:tc>
              <w:tc>
                <w:tcPr>
                  <w:tcW w:type="dxa" w:w="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70%时间）</w:t>
                  </w:r>
                  <w:r>
                    <w:br/>
                  </w:r>
                  <w:r>
                    <w:rPr>
                      <w:rFonts w:ascii="仿宋_GB2312" w:hAnsi="仿宋_GB2312" w:cs="仿宋_GB2312" w:eastAsia="仿宋_GB2312"/>
                      <w:sz w:val="18"/>
                    </w:rPr>
                    <w:t>1.AI辅助口语训练资源生成：涵盖基于班级学情的分层口语训练材料智能生成方法，包括基础词汇、常用句型、情景对话的阶梯式设计策略；</w:t>
                  </w:r>
                  <w:r>
                    <w:br/>
                  </w:r>
                  <w:r>
                    <w:rPr>
                      <w:rFonts w:ascii="仿宋_GB2312" w:hAnsi="仿宋_GB2312" w:cs="仿宋_GB2312" w:eastAsia="仿宋_GB2312"/>
                      <w:sz w:val="18"/>
                    </w:rPr>
                    <w:t>2.AI智能翻译与深度阅读：涵盖双语教学资源的快速生成与语境适配方案、长篇外文材料的自动摘要提取与关键信息结构化呈现策略。</w:t>
                  </w:r>
                </w:p>
                <w:p>
                  <w:pPr>
                    <w:pStyle w:val="null3"/>
                    <w:jc w:val="left"/>
                  </w:pPr>
                  <w:r>
                    <w:br/>
                  </w:r>
                  <w:r>
                    <w:rPr>
                      <w:rFonts w:ascii="仿宋_GB2312" w:hAnsi="仿宋_GB2312" w:cs="仿宋_GB2312" w:eastAsia="仿宋_GB2312"/>
                      <w:sz w:val="18"/>
                    </w:rPr>
                    <w:t>二、实操演练（约占</w:t>
                  </w:r>
                  <w:r>
                    <w:rPr>
                      <w:rFonts w:ascii="仿宋_GB2312" w:hAnsi="仿宋_GB2312" w:cs="仿宋_GB2312" w:eastAsia="仿宋_GB2312"/>
                      <w:sz w:val="18"/>
                    </w:rPr>
                    <w:t>20%时间）</w:t>
                  </w:r>
                  <w:r>
                    <w:br/>
                  </w:r>
                  <w:r>
                    <w:rPr>
                      <w:rFonts w:ascii="仿宋_GB2312" w:hAnsi="仿宋_GB2312" w:cs="仿宋_GB2312" w:eastAsia="仿宋_GB2312"/>
                      <w:sz w:val="18"/>
                    </w:rPr>
                    <w:t>1.参训教师使用AI平台，针对任教班级学生水平（弱/中/高）现场生成一份阶梯式口语训练单（含重点词汇、句型模板、简短对话框架）；</w:t>
                  </w:r>
                  <w:r>
                    <w:br/>
                  </w:r>
                  <w:r>
                    <w:rPr>
                      <w:rFonts w:ascii="仿宋_GB2312" w:hAnsi="仿宋_GB2312" w:cs="仿宋_GB2312" w:eastAsia="仿宋_GB2312"/>
                      <w:sz w:val="18"/>
                    </w:rPr>
                    <w:t>2.利用AI翻译工具完成一篇英文短文的摘要提取与生词标注，制作课堂预习单。</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6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70%时间）</w:t>
                  </w:r>
                  <w:r>
                    <w:br/>
                  </w:r>
                  <w:r>
                    <w:rPr>
                      <w:rFonts w:ascii="仿宋_GB2312" w:hAnsi="仿宋_GB2312" w:cs="仿宋_GB2312" w:eastAsia="仿宋_GB2312"/>
                      <w:sz w:val="18"/>
                    </w:rPr>
                    <w:t>1.AI写作辅助与润色：涵盖英语作文的复杂句式智能优化与改写建议流转机制、基于常见语法错误的针对性提升方案生成与个性化反馈体系；</w:t>
                  </w:r>
                  <w:r>
                    <w:br/>
                  </w:r>
                  <w:r>
                    <w:rPr>
                      <w:rFonts w:ascii="仿宋_GB2312" w:hAnsi="仿宋_GB2312" w:cs="仿宋_GB2312" w:eastAsia="仿宋_GB2312"/>
                      <w:sz w:val="18"/>
                    </w:rPr>
                    <w:t>2.AI听力资源个性化生成：涵盖基于学生能力层级的听力材料智能生成与难度自适应调整策略、配套理解练习的自动设计与音频资源的便捷剪辑支持。</w:t>
                  </w:r>
                </w:p>
                <w:p>
                  <w:pPr>
                    <w:pStyle w:val="null3"/>
                    <w:jc w:val="left"/>
                  </w:pPr>
                  <w:r>
                    <w:br/>
                  </w:r>
                  <w:r>
                    <w:rPr>
                      <w:rFonts w:ascii="仿宋_GB2312" w:hAnsi="仿宋_GB2312" w:cs="仿宋_GB2312" w:eastAsia="仿宋_GB2312"/>
                      <w:sz w:val="18"/>
                    </w:rPr>
                    <w:t>二、实操演练（约占</w:t>
                  </w:r>
                  <w:r>
                    <w:rPr>
                      <w:rFonts w:ascii="仿宋_GB2312" w:hAnsi="仿宋_GB2312" w:cs="仿宋_GB2312" w:eastAsia="仿宋_GB2312"/>
                      <w:sz w:val="18"/>
                    </w:rPr>
                    <w:t>20%时间）</w:t>
                  </w:r>
                  <w:r>
                    <w:br/>
                  </w:r>
                  <w:r>
                    <w:rPr>
                      <w:rFonts w:ascii="仿宋_GB2312" w:hAnsi="仿宋_GB2312" w:cs="仿宋_GB2312" w:eastAsia="仿宋_GB2312"/>
                      <w:sz w:val="18"/>
                    </w:rPr>
                    <w:t>1.参训教师提交一篇学生英语作文，使用AI写作工具进行批改与润色，输出个性化反馈报告；</w:t>
                  </w:r>
                  <w:r>
                    <w:br/>
                  </w:r>
                  <w:r>
                    <w:rPr>
                      <w:rFonts w:ascii="仿宋_GB2312" w:hAnsi="仿宋_GB2312" w:cs="仿宋_GB2312" w:eastAsia="仿宋_GB2312"/>
                      <w:sz w:val="18"/>
                    </w:rPr>
                    <w:t>2.利用AI听力工具现场生成一份适合任教班级学情的分层听力材料及配套选择题。</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59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70%时间）</w:t>
                  </w:r>
                  <w:r>
                    <w:br/>
                  </w:r>
                  <w:r>
                    <w:rPr>
                      <w:rFonts w:ascii="仿宋_GB2312" w:hAnsi="仿宋_GB2312" w:cs="仿宋_GB2312" w:eastAsia="仿宋_GB2312"/>
                      <w:sz w:val="18"/>
                    </w:rPr>
                    <w:t>1.AI情景对话模拟：常用职场术语的图文对照学习单生成；</w:t>
                  </w:r>
                  <w:r>
                    <w:br/>
                  </w:r>
                  <w:r>
                    <w:rPr>
                      <w:rFonts w:ascii="仿宋_GB2312" w:hAnsi="仿宋_GB2312" w:cs="仿宋_GB2312" w:eastAsia="仿宋_GB2312"/>
                      <w:sz w:val="18"/>
                    </w:rPr>
                    <w:t>2.AI辅助学考与词汇复习策略：涵盖基于遗忘曲线规律的智能单词复习计划制定、阅读理解语篇的难度自适应改编方法，支持学生利用碎片化时间高效备考。</w:t>
                  </w:r>
                  <w:r>
                    <w:br/>
                  </w:r>
                  <w:r>
                    <w:rPr>
                      <w:rFonts w:ascii="仿宋_GB2312" w:hAnsi="仿宋_GB2312" w:cs="仿宋_GB2312" w:eastAsia="仿宋_GB2312"/>
                      <w:sz w:val="18"/>
                    </w:rPr>
                    <w:t>二、实操演练（约占</w:t>
                  </w:r>
                  <w:r>
                    <w:rPr>
                      <w:rFonts w:ascii="仿宋_GB2312" w:hAnsi="仿宋_GB2312" w:cs="仿宋_GB2312" w:eastAsia="仿宋_GB2312"/>
                      <w:sz w:val="18"/>
                    </w:rPr>
                    <w:t>20%时间）</w:t>
                  </w:r>
                  <w:r>
                    <w:br/>
                  </w:r>
                  <w:r>
                    <w:rPr>
                      <w:rFonts w:ascii="仿宋_GB2312" w:hAnsi="仿宋_GB2312" w:cs="仿宋_GB2312" w:eastAsia="仿宋_GB2312"/>
                      <w:sz w:val="18"/>
                    </w:rPr>
                    <w:t>1.参训教师利用AI阅读改编工具，选取一篇学考真题阅读理解语篇，现场完成难度降级改编（如生词替换、长句拆分），并生成配套的3-5道理解检测题及答案解析。</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1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AI赋能英语学科教育</w:t>
                  </w:r>
                </w:p>
              </w:tc>
              <w:tc>
                <w:tcPr>
                  <w:tcW w:type="dxa" w:w="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
                  <w:vMerge/>
                  <w:tcBorders>
                    <w:top w:val="none" w:color="000000" w:sz="4"/>
                    <w:left w:val="single" w:color="000000" w:sz="4"/>
                    <w:bottom w:val="single" w:color="000000" w:sz="4"/>
                    <w:right w:val="single" w:color="000000" w:sz="4"/>
                  </w:tcBorders>
                </w:tcPr>
                <w:p/>
              </w:tc>
              <w:tc>
                <w:tcPr>
                  <w:tcW w:type="dxa" w:w="144"/>
                  <w:vMerge/>
                  <w:tcBorders>
                    <w:top w:val="none" w:color="000000" w:sz="4"/>
                    <w:left w:val="single" w:color="000000" w:sz="4"/>
                    <w:bottom w:val="single" w:color="000000" w:sz="4"/>
                    <w:right w:val="single" w:color="000000" w:sz="4"/>
                  </w:tcBorders>
                </w:tcPr>
                <w:p/>
              </w:tc>
              <w:tc>
                <w:tcPr>
                  <w:tcW w:type="dxa" w:w="104"/>
                  <w:vMerge/>
                  <w:tcBorders>
                    <w:top w:val="none" w:color="000000" w:sz="4"/>
                    <w:left w:val="single" w:color="000000" w:sz="4"/>
                    <w:bottom w:val="single" w:color="000000" w:sz="4"/>
                    <w:right w:val="single" w:color="000000" w:sz="4"/>
                  </w:tcBorders>
                </w:tcPr>
                <w:p/>
              </w:tc>
              <w:tc>
                <w:tcPr>
                  <w:tcW w:type="dxa" w:w="107"/>
                  <w:vMerge/>
                  <w:tcBorders>
                    <w:top w:val="none" w:color="000000" w:sz="4"/>
                    <w:left w:val="single" w:color="000000" w:sz="4"/>
                    <w:bottom w:val="single" w:color="000000" w:sz="4"/>
                    <w:right w:val="single" w:color="000000" w:sz="4"/>
                  </w:tcBorders>
                </w:tcPr>
                <w:p/>
              </w:tc>
              <w:tc>
                <w:tcPr>
                  <w:tcW w:type="dxa" w:w="18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四、培训师资：</w:t>
                  </w:r>
                  <w:r>
                    <w:rPr>
                      <w:rFonts w:ascii="仿宋_GB2312" w:hAnsi="仿宋_GB2312" w:cs="仿宋_GB2312" w:eastAsia="仿宋_GB2312"/>
                      <w:sz w:val="18"/>
                    </w:rPr>
                    <w:t>副高级及以上职称且具有类似培训经验的专业人员，须提供任职所在单位的证明及职称证书，且不得与其他培训课程人员重复。</w:t>
                  </w:r>
                </w:p>
              </w:tc>
              <w:tc>
                <w:tcPr>
                  <w:tcW w:type="dxa" w:w="115"/>
                  <w:vMerge/>
                  <w:tcBorders>
                    <w:top w:val="single" w:color="000000" w:sz="4"/>
                    <w:left w:val="single" w:color="000000" w:sz="4"/>
                    <w:bottom w:val="single" w:color="000000" w:sz="4"/>
                    <w:right w:val="single" w:color="000000" w:sz="4"/>
                  </w:tcBorders>
                </w:tcPr>
                <w:p/>
              </w:tc>
              <w:tc>
                <w:tcPr>
                  <w:tcW w:type="dxa" w:w="81"/>
                  <w:vMerge/>
                  <w:tcBorders>
                    <w:top w:val="single" w:color="000000" w:sz="4"/>
                    <w:left w:val="single" w:color="000000" w:sz="4"/>
                    <w:bottom w:val="single" w:color="000000" w:sz="4"/>
                    <w:right w:val="single" w:color="000000" w:sz="4"/>
                  </w:tcBorders>
                </w:tcPr>
                <w:p/>
              </w:tc>
            </w:tr>
            <w:tr>
              <w:tc>
                <w:tcPr>
                  <w:tcW w:type="dxa" w:w="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办公与宣传综合技能培训课程</w:t>
                  </w:r>
                </w:p>
              </w:tc>
              <w:tc>
                <w:tcPr>
                  <w:tcW w:type="dxa" w:w="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期</w:t>
                  </w:r>
                </w:p>
              </w:tc>
              <w:tc>
                <w:tcPr>
                  <w:tcW w:type="dxa" w:w="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50%时间）</w:t>
                  </w:r>
                  <w:r>
                    <w:br/>
                  </w:r>
                  <w:r>
                    <w:rPr>
                      <w:rFonts w:ascii="仿宋_GB2312" w:hAnsi="仿宋_GB2312" w:cs="仿宋_GB2312" w:eastAsia="仿宋_GB2312"/>
                      <w:sz w:val="18"/>
                    </w:rPr>
                    <w:t>1.教学文档（Word）高效排版规范：涵盖标准教学文档与试卷的快速自动化排版技巧、样式库应用与模板化管理策略，以及长文档目录与引用的智能生成方法；</w:t>
                  </w:r>
                  <w:r>
                    <w:br/>
                  </w:r>
                  <w:r>
                    <w:rPr>
                      <w:rFonts w:ascii="仿宋_GB2312" w:hAnsi="仿宋_GB2312" w:cs="仿宋_GB2312" w:eastAsia="仿宋_GB2312"/>
                      <w:sz w:val="18"/>
                    </w:rPr>
                    <w:t>2.数据处理（Excel）与图表呈现：涵盖学生成绩的批量导入统计、分类汇总与动态图表可视化呈现方法，并支持基础教学分析报告的快速生成与数据解读。</w:t>
                  </w:r>
                </w:p>
                <w:p>
                  <w:pPr>
                    <w:pStyle w:val="null3"/>
                    <w:jc w:val="left"/>
                  </w:pPr>
                  <w:r>
                    <w:br/>
                  </w:r>
                  <w:r>
                    <w:rPr>
                      <w:rFonts w:ascii="仿宋_GB2312" w:hAnsi="仿宋_GB2312" w:cs="仿宋_GB2312" w:eastAsia="仿宋_GB2312"/>
                      <w:sz w:val="18"/>
                    </w:rPr>
                    <w:t>二、实操演练（约占</w:t>
                  </w:r>
                  <w:r>
                    <w:rPr>
                      <w:rFonts w:ascii="仿宋_GB2312" w:hAnsi="仿宋_GB2312" w:cs="仿宋_GB2312" w:eastAsia="仿宋_GB2312"/>
                      <w:sz w:val="18"/>
                    </w:rPr>
                    <w:t>40%时间）</w:t>
                  </w:r>
                  <w:r>
                    <w:br/>
                  </w:r>
                  <w:r>
                    <w:rPr>
                      <w:rFonts w:ascii="仿宋_GB2312" w:hAnsi="仿宋_GB2312" w:cs="仿宋_GB2312" w:eastAsia="仿宋_GB2312"/>
                      <w:sz w:val="18"/>
                    </w:rPr>
                    <w:t>1.参训教师现场排版一份符合学校要求的期中试卷或教学设计文档，熟练应用样式与模板功能；</w:t>
                  </w:r>
                  <w:r>
                    <w:br/>
                  </w:r>
                  <w:r>
                    <w:rPr>
                      <w:rFonts w:ascii="仿宋_GB2312" w:hAnsi="仿宋_GB2312" w:cs="仿宋_GB2312" w:eastAsia="仿宋_GB2312"/>
                      <w:sz w:val="18"/>
                    </w:rPr>
                    <w:t>2.导入一份班级成绩表，制作数据透视表与成绩分布柱状图，生成简短分析结论。</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6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50%时间）</w:t>
                  </w:r>
                  <w:r>
                    <w:br/>
                  </w:r>
                  <w:r>
                    <w:rPr>
                      <w:rFonts w:ascii="仿宋_GB2312" w:hAnsi="仿宋_GB2312" w:cs="仿宋_GB2312" w:eastAsia="仿宋_GB2312"/>
                      <w:sz w:val="18"/>
                    </w:rPr>
                    <w:t>1.交互式多媒体（PPT）课件进阶：涵盖教学PPT逻辑框架的系统性设计方法、实用教学动画的合理嵌入与场景化应用技巧，以及触发交互功能的灵活配置能力；</w:t>
                  </w:r>
                  <w:r>
                    <w:br/>
                  </w:r>
                  <w:r>
                    <w:rPr>
                      <w:rFonts w:ascii="仿宋_GB2312" w:hAnsi="仿宋_GB2312" w:cs="仿宋_GB2312" w:eastAsia="仿宋_GB2312"/>
                      <w:sz w:val="18"/>
                    </w:rPr>
                    <w:t>2.融媒体宣传(推文)综合技能：涵盖微信公众号推文内容的排版规范与发布管理流程、校园活动宣传海报的快速设计处理技巧，以及常用图像美化与基础物料制作方法。</w:t>
                  </w:r>
                </w:p>
                <w:p>
                  <w:pPr>
                    <w:pStyle w:val="null3"/>
                    <w:jc w:val="left"/>
                  </w:pPr>
                  <w:r>
                    <w:br/>
                  </w:r>
                  <w:r>
                    <w:rPr>
                      <w:rFonts w:ascii="仿宋_GB2312" w:hAnsi="仿宋_GB2312" w:cs="仿宋_GB2312" w:eastAsia="仿宋_GB2312"/>
                      <w:sz w:val="18"/>
                    </w:rPr>
                    <w:t>二、实操演练（约占</w:t>
                  </w:r>
                  <w:r>
                    <w:rPr>
                      <w:rFonts w:ascii="仿宋_GB2312" w:hAnsi="仿宋_GB2312" w:cs="仿宋_GB2312" w:eastAsia="仿宋_GB2312"/>
                      <w:sz w:val="18"/>
                    </w:rPr>
                    <w:t>40%时间）</w:t>
                  </w:r>
                  <w:r>
                    <w:br/>
                  </w:r>
                  <w:r>
                    <w:rPr>
                      <w:rFonts w:ascii="仿宋_GB2312" w:hAnsi="仿宋_GB2312" w:cs="仿宋_GB2312" w:eastAsia="仿宋_GB2312"/>
                      <w:sz w:val="18"/>
                    </w:rPr>
                    <w:t>1.参训教师设计并制作一个包含动画与触发交互的微课PPT片段；</w:t>
                  </w:r>
                  <w:r>
                    <w:br/>
                  </w:r>
                  <w:r>
                    <w:rPr>
                      <w:rFonts w:ascii="仿宋_GB2312" w:hAnsi="仿宋_GB2312" w:cs="仿宋_GB2312" w:eastAsia="仿宋_GB2312"/>
                      <w:sz w:val="18"/>
                    </w:rPr>
                    <w:t>2.使用在线排版工具完成一篇校园活动推文的排版与模拟发布，并利用简易设计工具制作一张活动宣传海报初稿。</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59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50%时间）</w:t>
                  </w:r>
                  <w:r>
                    <w:br/>
                  </w:r>
                  <w:r>
                    <w:rPr>
                      <w:rFonts w:ascii="仿宋_GB2312" w:hAnsi="仿宋_GB2312" w:cs="仿宋_GB2312" w:eastAsia="仿宋_GB2312"/>
                      <w:sz w:val="18"/>
                    </w:rPr>
                    <w:t>1.短视频快剪与发布运营技巧：涵盖针对职业中学技能展示、校园活动的手机拍摄构图要点、剪映等工具的基础剪辑与字幕生成操作，以及校园账号的内容安全发布规范。</w:t>
                  </w:r>
                  <w:r>
                    <w:br/>
                  </w:r>
                  <w:r>
                    <w:rPr>
                      <w:rFonts w:ascii="仿宋_GB2312" w:hAnsi="仿宋_GB2312" w:cs="仿宋_GB2312" w:eastAsia="仿宋_GB2312"/>
                      <w:sz w:val="18"/>
                    </w:rPr>
                    <w:t>二、实操演练（约占</w:t>
                  </w:r>
                  <w:r>
                    <w:rPr>
                      <w:rFonts w:ascii="仿宋_GB2312" w:hAnsi="仿宋_GB2312" w:cs="仿宋_GB2312" w:eastAsia="仿宋_GB2312"/>
                      <w:sz w:val="18"/>
                    </w:rPr>
                    <w:t>40%时间）</w:t>
                  </w:r>
                  <w:r>
                    <w:br/>
                  </w:r>
                  <w:r>
                    <w:rPr>
                      <w:rFonts w:ascii="仿宋_GB2312" w:hAnsi="仿宋_GB2312" w:cs="仿宋_GB2312" w:eastAsia="仿宋_GB2312"/>
                      <w:sz w:val="18"/>
                    </w:rPr>
                    <w:t>1.利用提供的实训操作或活动素材，现场剪辑一条时长15-30秒的校园宣传短视频并模拟发布流程。</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w:t>
                  </w:r>
                  <w:r>
                    <w:rPr>
                      <w:rFonts w:ascii="仿宋_GB2312" w:hAnsi="仿宋_GB2312" w:cs="仿宋_GB2312" w:eastAsia="仿宋_GB2312"/>
                      <w:sz w:val="18"/>
                    </w:rPr>
                    <w:t>“如何用数据说话、用短视频讲好职教故事”进行分组研讨，分享心得，答疑解惑。</w:t>
                  </w:r>
                </w:p>
              </w:tc>
              <w:tc>
                <w:tcPr>
                  <w:tcW w:type="dxa" w:w="1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办公技能与公众号推文培训</w:t>
                  </w:r>
                </w:p>
              </w:tc>
              <w:tc>
                <w:tcPr>
                  <w:tcW w:type="dxa" w:w="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
                  <w:vMerge/>
                  <w:tcBorders>
                    <w:top w:val="none" w:color="000000" w:sz="4"/>
                    <w:left w:val="single" w:color="000000" w:sz="4"/>
                    <w:bottom w:val="single" w:color="000000" w:sz="4"/>
                    <w:right w:val="single" w:color="000000" w:sz="4"/>
                  </w:tcBorders>
                </w:tcPr>
                <w:p/>
              </w:tc>
              <w:tc>
                <w:tcPr>
                  <w:tcW w:type="dxa" w:w="144"/>
                  <w:vMerge/>
                  <w:tcBorders>
                    <w:top w:val="none" w:color="000000" w:sz="4"/>
                    <w:left w:val="single" w:color="000000" w:sz="4"/>
                    <w:bottom w:val="single" w:color="000000" w:sz="4"/>
                    <w:right w:val="single" w:color="000000" w:sz="4"/>
                  </w:tcBorders>
                </w:tcPr>
                <w:p/>
              </w:tc>
              <w:tc>
                <w:tcPr>
                  <w:tcW w:type="dxa" w:w="104"/>
                  <w:vMerge/>
                  <w:tcBorders>
                    <w:top w:val="none" w:color="000000" w:sz="4"/>
                    <w:left w:val="single" w:color="000000" w:sz="4"/>
                    <w:bottom w:val="single" w:color="000000" w:sz="4"/>
                    <w:right w:val="single" w:color="000000" w:sz="4"/>
                  </w:tcBorders>
                </w:tcPr>
                <w:p/>
              </w:tc>
              <w:tc>
                <w:tcPr>
                  <w:tcW w:type="dxa" w:w="107"/>
                  <w:vMerge/>
                  <w:tcBorders>
                    <w:top w:val="none" w:color="000000" w:sz="4"/>
                    <w:left w:val="single" w:color="000000" w:sz="4"/>
                    <w:bottom w:val="single" w:color="000000" w:sz="4"/>
                    <w:right w:val="single" w:color="000000" w:sz="4"/>
                  </w:tcBorders>
                </w:tcPr>
                <w:p/>
              </w:tc>
              <w:tc>
                <w:tcPr>
                  <w:tcW w:type="dxa" w:w="18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四、培训师资：</w:t>
                  </w:r>
                  <w:r>
                    <w:rPr>
                      <w:rFonts w:ascii="仿宋_GB2312" w:hAnsi="仿宋_GB2312" w:cs="仿宋_GB2312" w:eastAsia="仿宋_GB2312"/>
                      <w:sz w:val="18"/>
                    </w:rPr>
                    <w:t>副高级及以上职称且具有类似培训经验的专业人员，须提供任职所在单位的证明及职称证书，且不得与其他培训课程人员重复。</w:t>
                  </w:r>
                </w:p>
              </w:tc>
              <w:tc>
                <w:tcPr>
                  <w:tcW w:type="dxa" w:w="115"/>
                  <w:vMerge/>
                  <w:tcBorders>
                    <w:top w:val="single" w:color="000000" w:sz="4"/>
                    <w:left w:val="single" w:color="000000" w:sz="4"/>
                    <w:bottom w:val="single" w:color="000000" w:sz="4"/>
                    <w:right w:val="single" w:color="000000" w:sz="4"/>
                  </w:tcBorders>
                </w:tcPr>
                <w:p/>
              </w:tc>
              <w:tc>
                <w:tcPr>
                  <w:tcW w:type="dxa" w:w="81"/>
                  <w:vMerge/>
                  <w:tcBorders>
                    <w:top w:val="single" w:color="000000" w:sz="4"/>
                    <w:left w:val="single" w:color="000000" w:sz="4"/>
                    <w:bottom w:val="single" w:color="000000" w:sz="4"/>
                    <w:right w:val="single" w:color="000000" w:sz="4"/>
                  </w:tcBorders>
                </w:tcPr>
                <w:p/>
              </w:tc>
            </w:tr>
            <w:tr>
              <w:tc>
                <w:tcPr>
                  <w:tcW w:type="dxa" w:w="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智慧校园（已有平台）与多媒体教室应用培训课程</w:t>
                  </w:r>
                </w:p>
              </w:tc>
              <w:tc>
                <w:tcPr>
                  <w:tcW w:type="dxa" w:w="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期</w:t>
                  </w:r>
                </w:p>
              </w:tc>
              <w:tc>
                <w:tcPr>
                  <w:tcW w:type="dxa" w:w="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50%时间）</w:t>
                  </w:r>
                  <w:r>
                    <w:br/>
                  </w:r>
                  <w:r>
                    <w:rPr>
                      <w:rFonts w:ascii="仿宋_GB2312" w:hAnsi="仿宋_GB2312" w:cs="仿宋_GB2312" w:eastAsia="仿宋_GB2312"/>
                      <w:sz w:val="18"/>
                    </w:rPr>
                    <w:t>1.交互黑板深度应用场景：涵盖触控互动授课的多样化实现模式、多端课件的实时同步与流畅切换技巧，以及课堂活动模块的灵活设计与高效调用方法；</w:t>
                  </w:r>
                  <w:r>
                    <w:br/>
                  </w:r>
                  <w:r>
                    <w:rPr>
                      <w:rFonts w:ascii="仿宋_GB2312" w:hAnsi="仿宋_GB2312" w:cs="仿宋_GB2312" w:eastAsia="仿宋_GB2312"/>
                      <w:sz w:val="18"/>
                    </w:rPr>
                    <w:t>2.数字化班级管理联动：涵盖移动投屏的便捷操作与多屏协同展示方案、课堂过程性数据的即时采集与基础反馈机制，并支持班级个性化设置管理。</w:t>
                  </w:r>
                  <w:r>
                    <w:br/>
                  </w:r>
                  <w:r>
                    <w:rPr>
                      <w:rFonts w:ascii="仿宋_GB2312" w:hAnsi="仿宋_GB2312" w:cs="仿宋_GB2312" w:eastAsia="仿宋_GB2312"/>
                      <w:sz w:val="18"/>
                    </w:rPr>
                    <w:t>二、实操演练（约占</w:t>
                  </w:r>
                  <w:r>
                    <w:rPr>
                      <w:rFonts w:ascii="仿宋_GB2312" w:hAnsi="仿宋_GB2312" w:cs="仿宋_GB2312" w:eastAsia="仿宋_GB2312"/>
                      <w:sz w:val="18"/>
                    </w:rPr>
                    <w:t>40%时间）</w:t>
                  </w:r>
                  <w:r>
                    <w:br/>
                  </w:r>
                  <w:r>
                    <w:rPr>
                      <w:rFonts w:ascii="仿宋_GB2312" w:hAnsi="仿宋_GB2312" w:cs="仿宋_GB2312" w:eastAsia="仿宋_GB2312"/>
                      <w:sz w:val="18"/>
                    </w:rPr>
                    <w:t>1.参训教师现场操作交互黑板，完成课件多端同步等程序操作。</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6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50%时间）</w:t>
                  </w:r>
                  <w:r>
                    <w:br/>
                  </w:r>
                  <w:r>
                    <w:rPr>
                      <w:rFonts w:ascii="仿宋_GB2312" w:hAnsi="仿宋_GB2312" w:cs="仿宋_GB2312" w:eastAsia="仿宋_GB2312"/>
                      <w:sz w:val="18"/>
                    </w:rPr>
                    <w:t>1.智慧校园平台业务梳理：涵盖已有教务管理模块的闭环操作流程梳理、常规办公审批流的数字化运行规范，以及多角色权限配置的基础管理；</w:t>
                  </w:r>
                  <w:r>
                    <w:br/>
                  </w:r>
                  <w:r>
                    <w:rPr>
                      <w:rFonts w:ascii="仿宋_GB2312" w:hAnsi="仿宋_GB2312" w:cs="仿宋_GB2312" w:eastAsia="仿宋_GB2312"/>
                      <w:sz w:val="18"/>
                    </w:rPr>
                    <w:t>2.软硬件融合场景演练：涵盖多媒体教室音视频设备与智慧校园系统的常态化协同应用规范、突发情况的应急处置预案，以及日常维护与使用记录的标准化管理。</w:t>
                  </w:r>
                  <w:r>
                    <w:br/>
                  </w:r>
                  <w:r>
                    <w:rPr>
                      <w:rFonts w:ascii="仿宋_GB2312" w:hAnsi="仿宋_GB2312" w:cs="仿宋_GB2312" w:eastAsia="仿宋_GB2312"/>
                      <w:sz w:val="18"/>
                    </w:rPr>
                    <w:t>二、实操演练（约占</w:t>
                  </w:r>
                  <w:r>
                    <w:rPr>
                      <w:rFonts w:ascii="仿宋_GB2312" w:hAnsi="仿宋_GB2312" w:cs="仿宋_GB2312" w:eastAsia="仿宋_GB2312"/>
                      <w:sz w:val="18"/>
                    </w:rPr>
                    <w:t>40%时间）</w:t>
                  </w:r>
                  <w:r>
                    <w:br/>
                  </w:r>
                  <w:r>
                    <w:rPr>
                      <w:rFonts w:ascii="仿宋_GB2312" w:hAnsi="仿宋_GB2312" w:cs="仿宋_GB2312" w:eastAsia="仿宋_GB2312"/>
                      <w:sz w:val="18"/>
                    </w:rPr>
                    <w:t>1.参训教师登录智慧校园平台，完成一项教务管理流程模拟操作（如调课申请或考务安排）；</w:t>
                  </w:r>
                  <w:r>
                    <w:br/>
                  </w:r>
                  <w:r>
                    <w:rPr>
                      <w:rFonts w:ascii="仿宋_GB2312" w:hAnsi="仿宋_GB2312" w:cs="仿宋_GB2312" w:eastAsia="仿宋_GB2312"/>
                      <w:sz w:val="18"/>
                    </w:rPr>
                    <w:t>2.模拟多媒体设备突发故障场景，演练应急处理与线上报修全流程。</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59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50%时间）</w:t>
                  </w:r>
                  <w:r>
                    <w:br/>
                  </w:r>
                  <w:r>
                    <w:rPr>
                      <w:rFonts w:ascii="仿宋_GB2312" w:hAnsi="仿宋_GB2312" w:cs="仿宋_GB2312" w:eastAsia="仿宋_GB2312"/>
                      <w:sz w:val="18"/>
                    </w:rPr>
                    <w:t>1.校园智能设备的应用：涵盖已有智慧校园后台中教学运行、考勤、评教等核心数据的查看路径与指标解读，指导中层干部及班主任如何从数据中发现管理问题、优化决策；</w:t>
                  </w:r>
                  <w:r>
                    <w:br/>
                  </w:r>
                  <w:r>
                    <w:rPr>
                      <w:rFonts w:ascii="仿宋_GB2312" w:hAnsi="仿宋_GB2312" w:cs="仿宋_GB2312" w:eastAsia="仿宋_GB2312"/>
                      <w:sz w:val="18"/>
                    </w:rPr>
                    <w:t>2.常态化录播与远程互动教学：涵盖利用现有多媒体设备进行随堂课程实录、资源自动上传至校本资源库的操作流程，以及跨校区/校企合作远程会议与互动授课的连接调试技巧。</w:t>
                  </w:r>
                  <w:r>
                    <w:br/>
                  </w:r>
                  <w:r>
                    <w:rPr>
                      <w:rFonts w:ascii="仿宋_GB2312" w:hAnsi="仿宋_GB2312" w:cs="仿宋_GB2312" w:eastAsia="仿宋_GB2312"/>
                      <w:sz w:val="18"/>
                    </w:rPr>
                    <w:t>二、实操演练（约占</w:t>
                  </w:r>
                  <w:r>
                    <w:rPr>
                      <w:rFonts w:ascii="仿宋_GB2312" w:hAnsi="仿宋_GB2312" w:cs="仿宋_GB2312" w:eastAsia="仿宋_GB2312"/>
                      <w:sz w:val="18"/>
                    </w:rPr>
                    <w:t>40%时间）</w:t>
                  </w:r>
                  <w:r>
                    <w:br/>
                  </w:r>
                  <w:r>
                    <w:rPr>
                      <w:rFonts w:ascii="仿宋_GB2312" w:hAnsi="仿宋_GB2312" w:cs="仿宋_GB2312" w:eastAsia="仿宋_GB2312"/>
                      <w:sz w:val="18"/>
                    </w:rPr>
                    <w:t>1.现场操作多媒体教室设备，完成一次课堂实录并成功保存至个人空间。</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w:t>
                  </w:r>
                  <w:r>
                    <w:rPr>
                      <w:rFonts w:ascii="仿宋_GB2312" w:hAnsi="仿宋_GB2312" w:cs="仿宋_GB2312" w:eastAsia="仿宋_GB2312"/>
                      <w:sz w:val="18"/>
                    </w:rPr>
                    <w:t>“从会用设备到读懂数据”进行分组研讨，分享学习心得与应用设想。</w:t>
                  </w:r>
                </w:p>
              </w:tc>
              <w:tc>
                <w:tcPr>
                  <w:tcW w:type="dxa" w:w="1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已有平台与多媒体教室培训</w:t>
                  </w:r>
                </w:p>
              </w:tc>
              <w:tc>
                <w:tcPr>
                  <w:tcW w:type="dxa" w:w="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
                  <w:vMerge/>
                  <w:tcBorders>
                    <w:top w:val="none" w:color="000000" w:sz="4"/>
                    <w:left w:val="single" w:color="000000" w:sz="4"/>
                    <w:bottom w:val="single" w:color="000000" w:sz="4"/>
                    <w:right w:val="single" w:color="000000" w:sz="4"/>
                  </w:tcBorders>
                </w:tcPr>
                <w:p/>
              </w:tc>
              <w:tc>
                <w:tcPr>
                  <w:tcW w:type="dxa" w:w="144"/>
                  <w:vMerge/>
                  <w:tcBorders>
                    <w:top w:val="none" w:color="000000" w:sz="4"/>
                    <w:left w:val="single" w:color="000000" w:sz="4"/>
                    <w:bottom w:val="single" w:color="000000" w:sz="4"/>
                    <w:right w:val="single" w:color="000000" w:sz="4"/>
                  </w:tcBorders>
                </w:tcPr>
                <w:p/>
              </w:tc>
              <w:tc>
                <w:tcPr>
                  <w:tcW w:type="dxa" w:w="104"/>
                  <w:vMerge/>
                  <w:tcBorders>
                    <w:top w:val="none" w:color="000000" w:sz="4"/>
                    <w:left w:val="single" w:color="000000" w:sz="4"/>
                    <w:bottom w:val="single" w:color="000000" w:sz="4"/>
                    <w:right w:val="single" w:color="000000" w:sz="4"/>
                  </w:tcBorders>
                </w:tcPr>
                <w:p/>
              </w:tc>
              <w:tc>
                <w:tcPr>
                  <w:tcW w:type="dxa" w:w="107"/>
                  <w:vMerge/>
                  <w:tcBorders>
                    <w:top w:val="none" w:color="000000" w:sz="4"/>
                    <w:left w:val="single" w:color="000000" w:sz="4"/>
                    <w:bottom w:val="single" w:color="000000" w:sz="4"/>
                    <w:right w:val="single" w:color="000000" w:sz="4"/>
                  </w:tcBorders>
                </w:tcPr>
                <w:p/>
              </w:tc>
              <w:tc>
                <w:tcPr>
                  <w:tcW w:type="dxa" w:w="18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四、培训师资：</w:t>
                  </w:r>
                  <w:r>
                    <w:rPr>
                      <w:rFonts w:ascii="仿宋_GB2312" w:hAnsi="仿宋_GB2312" w:cs="仿宋_GB2312" w:eastAsia="仿宋_GB2312"/>
                      <w:sz w:val="18"/>
                    </w:rPr>
                    <w:t>副高级及以上职称且具有类似培训经验的专业人员，须提供任职所在单位的证明及职称证书，且不得与其他培训课程人员重复。</w:t>
                  </w:r>
                </w:p>
              </w:tc>
              <w:tc>
                <w:tcPr>
                  <w:tcW w:type="dxa" w:w="115"/>
                  <w:vMerge/>
                  <w:tcBorders>
                    <w:top w:val="single" w:color="000000" w:sz="4"/>
                    <w:left w:val="single" w:color="000000" w:sz="4"/>
                    <w:bottom w:val="single" w:color="000000" w:sz="4"/>
                    <w:right w:val="single" w:color="000000" w:sz="4"/>
                  </w:tcBorders>
                </w:tcPr>
                <w:p/>
              </w:tc>
              <w:tc>
                <w:tcPr>
                  <w:tcW w:type="dxa" w:w="81"/>
                  <w:vMerge/>
                  <w:tcBorders>
                    <w:top w:val="single" w:color="000000" w:sz="4"/>
                    <w:left w:val="single" w:color="000000" w:sz="4"/>
                    <w:bottom w:val="single" w:color="000000" w:sz="4"/>
                    <w:right w:val="single" w:color="000000" w:sz="4"/>
                  </w:tcBorders>
                </w:tcPr>
                <w:p/>
              </w:tc>
            </w:tr>
            <w:tr>
              <w:tc>
                <w:tcPr>
                  <w:tcW w:type="dxa" w:w="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新系统平台全业务操作实训课程</w:t>
                  </w:r>
                </w:p>
              </w:tc>
              <w:tc>
                <w:tcPr>
                  <w:tcW w:type="dxa" w:w="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期</w:t>
                  </w:r>
                </w:p>
              </w:tc>
              <w:tc>
                <w:tcPr>
                  <w:tcW w:type="dxa" w:w="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理论培训（约占</w:t>
                  </w:r>
                  <w:r>
                    <w:rPr>
                      <w:rFonts w:ascii="仿宋_GB2312" w:hAnsi="仿宋_GB2312" w:cs="仿宋_GB2312" w:eastAsia="仿宋_GB2312"/>
                      <w:sz w:val="18"/>
                    </w:rPr>
                    <w:t>50%时间）</w:t>
                  </w:r>
                  <w:r>
                    <w:br/>
                  </w:r>
                  <w:r>
                    <w:rPr>
                      <w:rFonts w:ascii="仿宋_GB2312" w:hAnsi="仿宋_GB2312" w:cs="仿宋_GB2312" w:eastAsia="仿宋_GB2312"/>
                      <w:sz w:val="18"/>
                    </w:rPr>
                    <w:t>1.教育智慧云枢平台基础应用：涵盖个人工作台的个性化配置与快捷操作设定、校本题库的结构化建设与智能标签管理，以及智能组卷与答题卡识别的完整操作流程；</w:t>
                  </w:r>
                  <w:r>
                    <w:br/>
                  </w:r>
                  <w:r>
                    <w:rPr>
                      <w:rFonts w:ascii="仿宋_GB2312" w:hAnsi="仿宋_GB2312" w:cs="仿宋_GB2312" w:eastAsia="仿宋_GB2312"/>
                      <w:sz w:val="18"/>
                    </w:rPr>
                    <w:t>2.智慧云枢评价机制实操：涵盖扫描判分的参数配置与流程监控、线上阅卷的任务分配与批注流转，以及学情诊断报告的生成逻辑解读与数据驱动教学改进策略。</w:t>
                  </w:r>
                  <w:r>
                    <w:br/>
                  </w:r>
                  <w:r>
                    <w:rPr>
                      <w:rFonts w:ascii="仿宋_GB2312" w:hAnsi="仿宋_GB2312" w:cs="仿宋_GB2312" w:eastAsia="仿宋_GB2312"/>
                      <w:sz w:val="18"/>
                    </w:rPr>
                    <w:t>二、实操演练（约占</w:t>
                  </w:r>
                  <w:r>
                    <w:rPr>
                      <w:rFonts w:ascii="仿宋_GB2312" w:hAnsi="仿宋_GB2312" w:cs="仿宋_GB2312" w:eastAsia="仿宋_GB2312"/>
                      <w:sz w:val="18"/>
                    </w:rPr>
                    <w:t>40%时间）</w:t>
                  </w:r>
                  <w:r>
                    <w:br/>
                  </w:r>
                  <w:r>
                    <w:rPr>
                      <w:rFonts w:ascii="仿宋_GB2312" w:hAnsi="仿宋_GB2312" w:cs="仿宋_GB2312" w:eastAsia="仿宋_GB2312"/>
                      <w:sz w:val="18"/>
                    </w:rPr>
                    <w:t>1.学习并完成一份智能组卷；</w:t>
                  </w:r>
                  <w:r>
                    <w:br/>
                  </w:r>
                  <w:r>
                    <w:rPr>
                      <w:rFonts w:ascii="仿宋_GB2312" w:hAnsi="仿宋_GB2312" w:cs="仿宋_GB2312" w:eastAsia="仿宋_GB2312"/>
                      <w:sz w:val="18"/>
                    </w:rPr>
                    <w:t>2.模拟扫描判分与线上阅卷全流程，生成学情诊断报告并进行年级组解读讨论。</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6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50%时间）</w:t>
                  </w:r>
                  <w:r>
                    <w:br/>
                  </w:r>
                  <w:r>
                    <w:rPr>
                      <w:rFonts w:ascii="仿宋_GB2312" w:hAnsi="仿宋_GB2312" w:cs="仿宋_GB2312" w:eastAsia="仿宋_GB2312"/>
                      <w:sz w:val="18"/>
                    </w:rPr>
                    <w:t>1.VR平台播控与硬件维保：涵盖VR头显等终端设备的基础操作规范与日常维护要点、播控中心的集中管控机制与课堂秩序远程干预引导策略；</w:t>
                  </w:r>
                  <w:r>
                    <w:br/>
                  </w:r>
                  <w:r>
                    <w:rPr>
                      <w:rFonts w:ascii="仿宋_GB2312" w:hAnsi="仿宋_GB2312" w:cs="仿宋_GB2312" w:eastAsia="仿宋_GB2312"/>
                      <w:sz w:val="18"/>
                    </w:rPr>
                    <w:t>2.VR仿真资源与实训流转：涵盖虚拟仿真教学资源的筛选、调用与课堂分发机制、实训场地的在线预约调度流程，以及学生实训过程数据的成果分析。</w:t>
                  </w:r>
                </w:p>
                <w:p>
                  <w:pPr>
                    <w:pStyle w:val="null3"/>
                    <w:jc w:val="left"/>
                  </w:pPr>
                  <w:r>
                    <w:rPr>
                      <w:rFonts w:ascii="仿宋_GB2312" w:hAnsi="仿宋_GB2312" w:cs="仿宋_GB2312" w:eastAsia="仿宋_GB2312"/>
                      <w:sz w:val="18"/>
                    </w:rPr>
                    <w:t>二、实操演练（约占</w:t>
                  </w:r>
                  <w:r>
                    <w:rPr>
                      <w:rFonts w:ascii="仿宋_GB2312" w:hAnsi="仿宋_GB2312" w:cs="仿宋_GB2312" w:eastAsia="仿宋_GB2312"/>
                      <w:sz w:val="18"/>
                    </w:rPr>
                    <w:t>40%时间）</w:t>
                  </w:r>
                  <w:r>
                    <w:br/>
                  </w:r>
                  <w:r>
                    <w:rPr>
                      <w:rFonts w:ascii="仿宋_GB2312" w:hAnsi="仿宋_GB2312" w:cs="仿宋_GB2312" w:eastAsia="仿宋_GB2312"/>
                      <w:sz w:val="18"/>
                    </w:rPr>
                    <w:t>1.参训教师实际操作VR播控中心，演练一键开关机、课件集中推送与课堂锁机功能；</w:t>
                  </w:r>
                  <w:r>
                    <w:br/>
                  </w:r>
                  <w:r>
                    <w:rPr>
                      <w:rFonts w:ascii="仿宋_GB2312" w:hAnsi="仿宋_GB2312" w:cs="仿宋_GB2312" w:eastAsia="仿宋_GB2312"/>
                      <w:sz w:val="18"/>
                    </w:rPr>
                    <w:t>2.模拟实训预约流程，完成从资源筛选到学生成果数据导出的全操作。</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组织参训教师围绕当日培训内容进行分组研讨，分享学习心得与应用设想，由培训讲师现场答疑解惑，总结提炼关键要点，促进知识内化与同行互鉴。</w:t>
                  </w:r>
                </w:p>
              </w:tc>
              <w:tc>
                <w:tcPr>
                  <w:tcW w:type="dxa" w:w="59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一、理论培训（约占</w:t>
                  </w:r>
                  <w:r>
                    <w:rPr>
                      <w:rFonts w:ascii="仿宋_GB2312" w:hAnsi="仿宋_GB2312" w:cs="仿宋_GB2312" w:eastAsia="仿宋_GB2312"/>
                      <w:sz w:val="18"/>
                    </w:rPr>
                    <w:t>50%时间）</w:t>
                  </w:r>
                  <w:r>
                    <w:br/>
                  </w:r>
                  <w:r>
                    <w:rPr>
                      <w:rFonts w:ascii="仿宋_GB2312" w:hAnsi="仿宋_GB2312" w:cs="仿宋_GB2312" w:eastAsia="仿宋_GB2312"/>
                      <w:sz w:val="18"/>
                    </w:rPr>
                    <w:t>1.精准教学案例复盘：选取上一学期的典型考试或实训考核案例，演示如何利用新平台的组卷、阅卷及学情报告功能，复盘教学得失并制定新学期分层教学改进方案。</w:t>
                  </w:r>
                  <w:r>
                    <w:br/>
                  </w:r>
                  <w:r>
                    <w:rPr>
                      <w:rFonts w:ascii="仿宋_GB2312" w:hAnsi="仿宋_GB2312" w:cs="仿宋_GB2312" w:eastAsia="仿宋_GB2312"/>
                      <w:sz w:val="18"/>
                    </w:rPr>
                    <w:t>二、实操演练（约占</w:t>
                  </w:r>
                  <w:r>
                    <w:rPr>
                      <w:rFonts w:ascii="仿宋_GB2312" w:hAnsi="仿宋_GB2312" w:cs="仿宋_GB2312" w:eastAsia="仿宋_GB2312"/>
                      <w:sz w:val="18"/>
                    </w:rPr>
                    <w:t>40%时间）</w:t>
                  </w:r>
                  <w:r>
                    <w:br/>
                  </w:r>
                  <w:r>
                    <w:rPr>
                      <w:rFonts w:ascii="仿宋_GB2312" w:hAnsi="仿宋_GB2312" w:cs="仿宋_GB2312" w:eastAsia="仿宋_GB2312"/>
                      <w:sz w:val="18"/>
                    </w:rPr>
                    <w:t>1.参训教师操作平台，将VR实训生成的学生成果数据与云枢考试成绩进行关联，生成一份学生阶段性综合学业简报；</w:t>
                  </w:r>
                  <w:r>
                    <w:br/>
                  </w:r>
                  <w:r>
                    <w:rPr>
                      <w:rFonts w:ascii="仿宋_GB2312" w:hAnsi="仿宋_GB2312" w:cs="仿宋_GB2312" w:eastAsia="仿宋_GB2312"/>
                      <w:sz w:val="18"/>
                    </w:rPr>
                    <w:t>三、交流研讨（约占</w:t>
                  </w:r>
                  <w:r>
                    <w:rPr>
                      <w:rFonts w:ascii="仿宋_GB2312" w:hAnsi="仿宋_GB2312" w:cs="仿宋_GB2312" w:eastAsia="仿宋_GB2312"/>
                      <w:sz w:val="18"/>
                    </w:rPr>
                    <w:t>10%时间）</w:t>
                  </w:r>
                  <w:r>
                    <w:br/>
                  </w:r>
                  <w:r>
                    <w:rPr>
                      <w:rFonts w:ascii="仿宋_GB2312" w:hAnsi="仿宋_GB2312" w:cs="仿宋_GB2312" w:eastAsia="仿宋_GB2312"/>
                      <w:sz w:val="18"/>
                    </w:rPr>
                    <w:t>组织参训教师围绕</w:t>
                  </w:r>
                  <w:r>
                    <w:rPr>
                      <w:rFonts w:ascii="仿宋_GB2312" w:hAnsi="仿宋_GB2312" w:cs="仿宋_GB2312" w:eastAsia="仿宋_GB2312"/>
                      <w:sz w:val="18"/>
                    </w:rPr>
                    <w:t>“让新系统真正服务于教学闭环”进行分组研讨，分享心得，讲师现场答疑。</w:t>
                  </w:r>
                </w:p>
              </w:tc>
              <w:tc>
                <w:tcPr>
                  <w:tcW w:type="dxa" w:w="1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新系统平台培训</w:t>
                  </w:r>
                </w:p>
              </w:tc>
              <w:tc>
                <w:tcPr>
                  <w:tcW w:type="dxa" w:w="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
                  <w:vMerge/>
                  <w:tcBorders>
                    <w:top w:val="none" w:color="000000" w:sz="4"/>
                    <w:left w:val="single" w:color="000000" w:sz="4"/>
                    <w:bottom w:val="single" w:color="000000" w:sz="4"/>
                    <w:right w:val="single" w:color="000000" w:sz="4"/>
                  </w:tcBorders>
                </w:tcPr>
                <w:p/>
              </w:tc>
              <w:tc>
                <w:tcPr>
                  <w:tcW w:type="dxa" w:w="144"/>
                  <w:vMerge/>
                  <w:tcBorders>
                    <w:top w:val="none" w:color="000000" w:sz="4"/>
                    <w:left w:val="single" w:color="000000" w:sz="4"/>
                    <w:bottom w:val="single" w:color="000000" w:sz="4"/>
                    <w:right w:val="single" w:color="000000" w:sz="4"/>
                  </w:tcBorders>
                </w:tcPr>
                <w:p/>
              </w:tc>
              <w:tc>
                <w:tcPr>
                  <w:tcW w:type="dxa" w:w="104"/>
                  <w:vMerge/>
                  <w:tcBorders>
                    <w:top w:val="none" w:color="000000" w:sz="4"/>
                    <w:left w:val="single" w:color="000000" w:sz="4"/>
                    <w:bottom w:val="single" w:color="000000" w:sz="4"/>
                    <w:right w:val="single" w:color="000000" w:sz="4"/>
                  </w:tcBorders>
                </w:tcPr>
                <w:p/>
              </w:tc>
              <w:tc>
                <w:tcPr>
                  <w:tcW w:type="dxa" w:w="107"/>
                  <w:vMerge/>
                  <w:tcBorders>
                    <w:top w:val="none" w:color="000000" w:sz="4"/>
                    <w:left w:val="single" w:color="000000" w:sz="4"/>
                    <w:bottom w:val="single" w:color="000000" w:sz="4"/>
                    <w:right w:val="single" w:color="000000" w:sz="4"/>
                  </w:tcBorders>
                </w:tcPr>
                <w:p/>
              </w:tc>
              <w:tc>
                <w:tcPr>
                  <w:tcW w:type="dxa" w:w="18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四、培训师资：</w:t>
                  </w:r>
                  <w:r>
                    <w:rPr>
                      <w:rFonts w:ascii="仿宋_GB2312" w:hAnsi="仿宋_GB2312" w:cs="仿宋_GB2312" w:eastAsia="仿宋_GB2312"/>
                      <w:sz w:val="18"/>
                    </w:rPr>
                    <w:t>副高级及以上职称且具有类似培训经验的专业人员，须提供任职所在单位的证明及职称证书，且不得与其他培训课程人员重复。</w:t>
                  </w:r>
                </w:p>
              </w:tc>
              <w:tc>
                <w:tcPr>
                  <w:tcW w:type="dxa" w:w="115"/>
                  <w:vMerge/>
                  <w:tcBorders>
                    <w:top w:val="single" w:color="000000" w:sz="4"/>
                    <w:left w:val="single" w:color="000000" w:sz="4"/>
                    <w:bottom w:val="single" w:color="000000" w:sz="4"/>
                    <w:right w:val="single" w:color="000000" w:sz="4"/>
                  </w:tcBorders>
                </w:tcPr>
                <w:p/>
              </w:tc>
              <w:tc>
                <w:tcPr>
                  <w:tcW w:type="dxa" w:w="81"/>
                  <w:vMerge/>
                  <w:tcBorders>
                    <w:top w:val="single" w:color="000000" w:sz="4"/>
                    <w:left w:val="singl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签订合同后，中标人应在7个工作日内书面提出支付申请函及与拟支付金额等额的符合采购人财务管理要求的相应发票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项目硬件设备全部到达采购人指定地点，数量、型号、规格经采购人验收后，中标人应在7个工作日内书面提出支付申请函及与拟支付金额等额的符合采购人财务管理要求的相应发票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完成系统开发及安装调试后，中标人应在7个工作日内书面提出支付申请函及与拟支付金额等额的符合采购人财务管理要求的相应发票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项目培训全部结束并完成最终验收后，中标人应在7个工作日内书面提出支付申请函及与拟支付金额等额的符合采购人财务管理要求的相应发票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一、交付验收 本项目主要建设内容包括：VR虚拟仿真实训室建设（含8项核心支撑硬件设备、2个教学资源软件、1个VR 实训室智慧管理平台、1项综合调试服务）；教育智慧云枢平台建设（含5项支撑硬件设备、6大核心业务软件平台）；教师信息化素养提升及全业务平台应用培训（含6大系列专项课程，共计18场次培训）。所有硬件设备安装调试完毕、软件系统部署上线并达到试运行要求后，方可启动交付验收流程。 1.验收条件与交付质量要求：完成对项目采购单位所要求的功能模块、技术参数、性能指标及培训服务的实质性交付。 2.参与方：由项目采购单位组织，中标供应商、信息化相关专家参加。 3.验收流程：检查软硬件产品的功能及性能符合性，验证平台业务逻辑的闭环；验收通过后方可进入试运行及服务期。 4.针对每个系统需提交的交付验收材料清单包括但不限于以下内容： （1）软硬件设备满足招标文件功能要求、可靠性要求、性能需求，按相关要求完成设备部署调测并提供相关证明材料，且满足最终用户教学使用要求。 （2）提供完整的各项验收文档和软件工具使用许可授权技术资料。 （3）系统安全方面。配合完成平台上线前的安全性测试，以及网络安全等级保护测评工作，确保系统数据安全合规。 中标人须在合同签订后，不超过70历日完成交付验收。 二、最终验收 符合最终验收条件之后，项目采购人提交最终验收申请，启动最终验收工作，形成最终验收意见。 1.验收条件：中标供应商根据合同、招标文件，总结项目组织实施情况，并在完成试运行后向采购单位提出验收申请。 2.参与方：验收工作由专家、项目采购单位、中标供应商一起组成验收小组进行验收，验收后提交验收报告。 3.验收流程： （1）由中标供应商提出终验申请，采购单位同意；经过审核，材料齐全则由采购单位组织验收。 （2）需要对所有与项目相关的文档进行完整性检查，并对文档中的内容进行准确性审核，确保文档的完整性和内容的准确性。 （3）检查文档是否符合相关行业规范和项目本身制定的文档标准。 （4）对文档进行可读性审查，评估文档是否易于理解，尤其是对于校方非技术管理人员或后期维护人员。 4.验收交付清单： （1）完成采购单位要求的所有软硬件建设服务，符合招标文件、合同所规定的技术与功能要求，所提供的服务达到预期教学目标或设计参数要求。 （2）完成本项目所包含的教师信息化素养培训及相关实施服务内容。 （3）交付验收合格，完成交付验收问题整改。 （4）交付验收合格并整改完毕后，进入试运行阶段，完成15日历天的系统试运行并运行正常，提供试运行报告。 （5）提供相关完整的各项验收文档、过程文档、培训记录档案等技术资料。 （6）参照相关管理办法要求，达到最终验收条件，项目文档资料准备齐全、规范。 （7）非采购单位、中标供应商双方原因导致验收无法按约定的最迟时间进行的，原则上在双方协商一致后确认具体验收时间。 5.验收后：中标供应商协助采购单位对项目资料（包括合同、招标材料、技术文档、验收单等）进行整理归档，收集项目相关文件材料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质量保修范围：本次采购的所有物品。 保修期：一年免费质保。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1、用户在后期使用过程中，如果有新的需求，不超过原合同金额的10%以内，可签订补充协议，参照现有投标单价据实结算。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供应商应按照汉中市财政局《关于全面推行政府采购供应商基本资格条件承诺制的通知》（汉采办采管〔2024〕20号）文件要求，提供电子签章的《汉中市政府采购供应商资格承诺函》（格式后附）。</w:t>
            </w:r>
          </w:p>
        </w:tc>
        <w:tc>
          <w:tcPr>
            <w:tcW w:type="dxa" w:w="1661"/>
          </w:tcPr>
          <w:p>
            <w:pPr>
              <w:pStyle w:val="null3"/>
            </w:pPr>
            <w:r>
              <w:rPr>
                <w:rFonts w:ascii="仿宋_GB2312" w:hAnsi="仿宋_GB2312" w:cs="仿宋_GB2312" w:eastAsia="仿宋_GB2312"/>
              </w:rPr>
              <w:t>投标函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投标人企业关联关系声明函.docx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提供电子签章的相关证明材料</w:t>
            </w:r>
          </w:p>
        </w:tc>
        <w:tc>
          <w:tcPr>
            <w:tcW w:type="dxa" w:w="3322"/>
          </w:tcPr>
          <w:p>
            <w:pPr>
              <w:pStyle w:val="null3"/>
            </w:pPr>
            <w:r>
              <w:rPr>
                <w:rFonts w:ascii="仿宋_GB2312" w:hAnsi="仿宋_GB2312" w:cs="仿宋_GB2312" w:eastAsia="仿宋_GB2312"/>
              </w:rPr>
              <w:t>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投标函 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按要求提供加盖电子签章的相关证明材料</w:t>
            </w:r>
          </w:p>
        </w:tc>
        <w:tc>
          <w:tcPr>
            <w:tcW w:type="dxa" w:w="3322"/>
          </w:tcPr>
          <w:p>
            <w:pPr>
              <w:pStyle w:val="null3"/>
            </w:pPr>
            <w:r>
              <w:rPr>
                <w:rFonts w:ascii="仿宋_GB2312" w:hAnsi="仿宋_GB2312" w:cs="仿宋_GB2312" w:eastAsia="仿宋_GB2312"/>
              </w:rPr>
              <w:t>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w:t>
            </w:r>
          </w:p>
        </w:tc>
        <w:tc>
          <w:tcPr>
            <w:tcW w:type="dxa" w:w="1661"/>
          </w:tcPr>
          <w:p>
            <w:pPr>
              <w:pStyle w:val="null3"/>
            </w:pPr>
            <w:r>
              <w:rPr>
                <w:rFonts w:ascii="仿宋_GB2312" w:hAnsi="仿宋_GB2312" w:cs="仿宋_GB2312" w:eastAsia="仿宋_GB2312"/>
              </w:rPr>
              <w:t>法人授权书和委托书.docx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供应商提供加盖电子签章的《汉中市政府采购供应商资格承诺函》（格式后附）</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提供加盖电子签章的非联合体声明。</w:t>
            </w:r>
          </w:p>
        </w:tc>
        <w:tc>
          <w:tcPr>
            <w:tcW w:type="dxa" w:w="3322"/>
          </w:tcPr>
          <w:p>
            <w:pPr>
              <w:pStyle w:val="null3"/>
            </w:pPr>
            <w:r>
              <w:rPr>
                <w:rFonts w:ascii="仿宋_GB2312" w:hAnsi="仿宋_GB2312" w:cs="仿宋_GB2312" w:eastAsia="仿宋_GB2312"/>
              </w:rPr>
              <w:t>本项目不接受联合体投标（提供非联合体声明，格式后附）</w:t>
            </w:r>
          </w:p>
        </w:tc>
        <w:tc>
          <w:tcPr>
            <w:tcW w:type="dxa" w:w="1661"/>
          </w:tcPr>
          <w:p>
            <w:pPr>
              <w:pStyle w:val="null3"/>
            </w:pPr>
            <w:r>
              <w:rPr>
                <w:rFonts w:ascii="仿宋_GB2312" w:hAnsi="仿宋_GB2312" w:cs="仿宋_GB2312" w:eastAsia="仿宋_GB2312"/>
              </w:rPr>
              <w:t>非联合体投标声明.docx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无</w:t>
            </w:r>
          </w:p>
        </w:tc>
        <w:tc>
          <w:tcPr>
            <w:tcW w:type="dxa" w:w="3322"/>
          </w:tcPr>
          <w:p>
            <w:pPr>
              <w:pStyle w:val="null3"/>
            </w:pPr>
            <w:r>
              <w:rPr>
                <w:rFonts w:ascii="仿宋_GB2312" w:hAnsi="仿宋_GB2312" w:cs="仿宋_GB2312" w:eastAsia="仿宋_GB2312"/>
              </w:rPr>
              <w:t>本项目非专门面向中小企业、监狱企业、残疾人福利性单位。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现状及需求分析</w:t>
            </w:r>
          </w:p>
        </w:tc>
        <w:tc>
          <w:tcPr>
            <w:tcW w:type="dxa" w:w="2492"/>
          </w:tcPr>
          <w:p>
            <w:pPr>
              <w:pStyle w:val="null3"/>
            </w:pPr>
            <w:r>
              <w:rPr>
                <w:rFonts w:ascii="仿宋_GB2312" w:hAnsi="仿宋_GB2312" w:cs="仿宋_GB2312" w:eastAsia="仿宋_GB2312"/>
              </w:rPr>
              <w:t>①对采购人建设数字化校园平台需求的理解、对数字化校园建设及其服务目标、服务原则及需求的分析，确保采购人在使用相关服务过程中能熟练掌握教学流程；②能有效应对相关教育服务场景，并能通过实际服务需求解决相关的重点难点工作。③对项目软硬件设施与教学业务之间关联关系的了解程度。④平台与教学数据安全管理机制。 二、评审标准 1、完整性充分性：方案须详细全面，表述清晰完整，完全满足招标文件要求； 2、可实施性：切合本项目实际情况，实施步骤清晰； 3、针对性：方案能够紧扣项目实际情况。 4、合理性：方案合理紧贴项目实质情况。 三、赋分标准：对采购人需求的理解、服务目标、服务原则、服务场景及需求的分析，每完全满足一个评审标准得2分，每有一处内容存在缺陷，扣0.5分，扣完为止。注:存在缺陷是指完整性欠缺；可实施性存在漏洞或不够详实；对本项目针对性不够明确或前后不一致与项目需求不匹配及其他不利于项目实施等任意一种情形。本项目满分为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系统技术方案</w:t>
            </w:r>
          </w:p>
        </w:tc>
        <w:tc>
          <w:tcPr>
            <w:tcW w:type="dxa" w:w="2492"/>
          </w:tcPr>
          <w:p>
            <w:pPr>
              <w:pStyle w:val="null3"/>
            </w:pPr>
            <w:r>
              <w:rPr>
                <w:rFonts w:ascii="仿宋_GB2312" w:hAnsi="仿宋_GB2312" w:cs="仿宋_GB2312" w:eastAsia="仿宋_GB2312"/>
              </w:rPr>
              <w:t>一、供应商提出针对于本项目的系统技术方案，方案内容包含：①对系统功能需求、实施要求的理解和分析；②对本项目系统的实现思路和关键技术总体架构设计等进行描述。③对全部功能进行详细描述。 二、评审标准 1、完整性：方案须详细全面，表述清晰完整，完全满足招标文件要求； 2、可实施性：切合本项目实际情况，实施步骤清晰； 3、针对性：方案能够紧扣项目实际情况，内容科学。 4、合理性：方案能够满足项目实际情况，符合采购需求。 三、赋分标准： ①对系统功能需求、实施要求的理解和分析，每完全满足一个评审标准得0.5分，满分2分。②对本项目系统的实现思路和关键技术总体架构设计等进行描述每完全满足一个评审标准得1分，满分4分。③对全部功能进行详细描述，每有一处内容存在缺陷，扣0.3分，满分为9分，扣完为止。注:存在缺陷是指完整性欠缺；可实施性存在漏洞或不够详实；对本项目针对性不够明确或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培训及服务方案</w:t>
            </w:r>
          </w:p>
        </w:tc>
        <w:tc>
          <w:tcPr>
            <w:tcW w:type="dxa" w:w="2492"/>
          </w:tcPr>
          <w:p>
            <w:pPr>
              <w:pStyle w:val="null3"/>
            </w:pPr>
            <w:r>
              <w:rPr>
                <w:rFonts w:ascii="仿宋_GB2312" w:hAnsi="仿宋_GB2312" w:cs="仿宋_GB2312" w:eastAsia="仿宋_GB2312"/>
              </w:rPr>
              <w:t>一、①供应商提供针对本项目的培训及服务方案课程，至少涵盖（语文、数学、英语）AI赋能专项培训，以及办公与宣传、智慧校园与多媒体教室应用、新系统平台全业务操作等培训进行评分。 二、评审标准 1、完整性：培训及服务方案课程详细全面，表述清晰完整，完全满足招标文件要求； 2、可实施性：切合本项目实际培训需求。 3、针对性：培训方案能够紧扣项目实际情况。 4、合理性：培训内容有效且科学合理。 三、赋分标准：对培训过程中培训重难点、培训要求、相关系统功能的应用，每完全满足一个评审标准得2分，满分8分。每有一处内容存在缺陷，扣2分，扣完为止。注:存在缺陷是指完整性欠缺；培训过程中，完整性欠缺、培训内容不够具体；可实施性存在漏洞或不够详实；对培训内容针对性不够明确或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一、供应商提供针对本项目的服务质量保证方案，主要内容包括：①服务质量保证措施 ②服务承诺 二、评审标准 1、完整性：方案须详细全面，表述清晰完整，完全满足招标文件要求； 2、可实施性：切合本项目实际情况，实施步骤清晰、合理； 3、针对性：方案能够紧扣项目实际情况，内容科学合理。 三、赋分标准（满分6分） ①服务质量保证措施，每完全满足一个评审标准得1分，满分3分。②服务承诺，每完全满足一个评审标准得1分，满分3分。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团队成员</w:t>
            </w:r>
          </w:p>
        </w:tc>
        <w:tc>
          <w:tcPr>
            <w:tcW w:type="dxa" w:w="2492"/>
          </w:tcPr>
          <w:p>
            <w:pPr>
              <w:pStyle w:val="null3"/>
            </w:pPr>
            <w:r>
              <w:rPr>
                <w:rFonts w:ascii="仿宋_GB2312" w:hAnsi="仿宋_GB2312" w:cs="仿宋_GB2312" w:eastAsia="仿宋_GB2312"/>
              </w:rPr>
              <w:t>团队成员每提供一个高级职称得2分，副高级职称证书得1.5分，中级职称证书得0.5分，其余不得分，本项满分20分。 二、赋分依据：提供拟派人员相对应的证书复印件或扫描件并加盖供应商公章为计分依据且同时提供投入服务团队相关人员身份证和递交文件截止时间前6个月连续的社保经办机构出具的参保缴费证明；未提供相关证明资料或提供资料不清晰导致无法识别的不予认可。</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团队成员配置表.docx</w:t>
            </w:r>
          </w:p>
        </w:tc>
      </w:tr>
      <w:tr>
        <w:tc>
          <w:tcPr>
            <w:tcW w:type="dxa" w:w="831"/>
            <w:vMerge/>
          </w:tcPr>
          <w:p/>
        </w:tc>
        <w:tc>
          <w:tcPr>
            <w:tcW w:type="dxa" w:w="1661"/>
          </w:tcPr>
          <w:p>
            <w:pPr>
              <w:pStyle w:val="null3"/>
            </w:pPr>
            <w:r>
              <w:rPr>
                <w:rFonts w:ascii="仿宋_GB2312" w:hAnsi="仿宋_GB2312" w:cs="仿宋_GB2312" w:eastAsia="仿宋_GB2312"/>
              </w:rPr>
              <w:t>工作进度</w:t>
            </w:r>
          </w:p>
        </w:tc>
        <w:tc>
          <w:tcPr>
            <w:tcW w:type="dxa" w:w="2492"/>
          </w:tcPr>
          <w:p>
            <w:pPr>
              <w:pStyle w:val="null3"/>
            </w:pPr>
            <w:r>
              <w:rPr>
                <w:rFonts w:ascii="仿宋_GB2312" w:hAnsi="仿宋_GB2312" w:cs="仿宋_GB2312" w:eastAsia="仿宋_GB2312"/>
              </w:rPr>
              <w:t>一、供应商提供整体服务工作进度方案，主要内容包括：①工作进度计划 ② 进度计划保障措施 ③验收计划等。④工作职责划分、⑤现场驻场与进度跟进流程等内容。二、评审标准 1、完整性充分性：方案须详细全面，表述清晰完整，完全满足招标文件要求； 2、可实施性针对性：切合本项目实际情况，实施步骤清晰、合理； 方案能够紧扣项目实际情况，内容科学合理。 三、赋分标准： ①工作进度计划，每完全满足一个评审标准得1分，满分2分。② 进度计划保障措施，每完全满足一个评审标准得1分，满分2分。 ③验收计划，每完全满足一个评审标准得0.5分，满分1.0。④工作职责划分，每完全满足一个评审标准得1.5分，满分3.0分。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投标人须提供2022年1月1日至今，类似项目相关成功案例，每提供一个得1分，满分为5分。（提供合同扫描件并加盖公章，时间以合同签订时间为准）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1.经初审合格的投标文件，其投标报价为有效投标报价，有效投标报价中若有政策性扣减的情况，应进行政策性扣减，并依据扣减后的价格（评审价格）进行价格评审。 2.满足招标文件实质性要求且最终报价最低的供应商的价格为评标基准价，其价格分为满分30分。 3.投标报价得分=（评标基准价/投标报价）×30 的公式计算得分。 4.投标报价不完整的，不进入评标标准价的计算， 本项得 0 分。 5.有效报价：各有效的分项报价相加的总价，为本次的投标报价。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详见附件：法人授权书和委托书.docx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详见附件：非联合体投标声明.docx</w:t>
      </w:r>
    </w:p>
    <w:p>
      <w:pPr>
        <w:pStyle w:val="null3"/>
        <w:ind w:firstLine="960"/>
      </w:pPr>
      <w:r>
        <w:rPr>
          <w:rFonts w:ascii="仿宋_GB2312" w:hAnsi="仿宋_GB2312" w:cs="仿宋_GB2312" w:eastAsia="仿宋_GB2312"/>
        </w:rPr>
        <w:t>详见附件：投标人企业关联关系声明函.docx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详见附件：相关资格证明文件.docx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详见附件：团队成员配置表.docx</w:t>
      </w:r>
    </w:p>
    <w:p>
      <w:pPr>
        <w:pStyle w:val="null3"/>
        <w:ind w:firstLine="960"/>
      </w:pPr>
      <w:r>
        <w:rPr>
          <w:rFonts w:ascii="仿宋_GB2312" w:hAnsi="仿宋_GB2312" w:cs="仿宋_GB2312" w:eastAsia="仿宋_GB2312"/>
        </w:rPr>
        <w:t>详见附件：业绩表.docx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详见附件：供货合同511.docx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