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1E224">
      <w:pPr>
        <w:bidi w:val="0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</w:p>
    <w:p w14:paraId="034F2E64">
      <w:pPr>
        <w:bidi w:val="0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</w:p>
    <w:p w14:paraId="028D2074">
      <w:pPr>
        <w:bidi w:val="0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</w:p>
    <w:p w14:paraId="62E4F8FC">
      <w:pPr>
        <w:bidi w:val="0"/>
        <w:jc w:val="center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教育智慧云平台建设项目</w:t>
      </w:r>
    </w:p>
    <w:p w14:paraId="4BAA238F">
      <w:pPr>
        <w:pStyle w:val="2"/>
        <w:spacing w:line="252" w:lineRule="auto"/>
      </w:pPr>
    </w:p>
    <w:p w14:paraId="4BA95B0E">
      <w:pPr>
        <w:pStyle w:val="2"/>
        <w:spacing w:line="252" w:lineRule="auto"/>
      </w:pPr>
    </w:p>
    <w:p w14:paraId="40086BAB">
      <w:pPr>
        <w:pStyle w:val="2"/>
        <w:spacing w:line="252" w:lineRule="auto"/>
      </w:pPr>
    </w:p>
    <w:p w14:paraId="6D5431A1">
      <w:pPr>
        <w:pStyle w:val="2"/>
        <w:spacing w:line="252" w:lineRule="auto"/>
      </w:pPr>
    </w:p>
    <w:p w14:paraId="1749D4B9">
      <w:pPr>
        <w:pStyle w:val="2"/>
        <w:spacing w:line="252" w:lineRule="auto"/>
      </w:pPr>
    </w:p>
    <w:p w14:paraId="759C43F5">
      <w:pPr>
        <w:pStyle w:val="2"/>
        <w:spacing w:line="252" w:lineRule="auto"/>
      </w:pPr>
    </w:p>
    <w:p w14:paraId="6C74726B">
      <w:pPr>
        <w:pStyle w:val="2"/>
        <w:spacing w:line="253" w:lineRule="auto"/>
      </w:pPr>
    </w:p>
    <w:p w14:paraId="6A4A10C1">
      <w:pPr>
        <w:spacing w:before="169" w:line="219" w:lineRule="auto"/>
        <w:ind w:left="3679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b/>
          <w:bCs/>
          <w:spacing w:val="-8"/>
          <w:sz w:val="52"/>
          <w:szCs w:val="52"/>
        </w:rPr>
        <w:t>采购合同</w:t>
      </w:r>
    </w:p>
    <w:p w14:paraId="64F871FB">
      <w:pPr>
        <w:pStyle w:val="2"/>
        <w:spacing w:line="248" w:lineRule="auto"/>
      </w:pPr>
    </w:p>
    <w:p w14:paraId="2E9E9F35">
      <w:pPr>
        <w:pStyle w:val="2"/>
        <w:spacing w:line="248" w:lineRule="auto"/>
      </w:pPr>
    </w:p>
    <w:p w14:paraId="1E048D03">
      <w:pPr>
        <w:pStyle w:val="2"/>
        <w:spacing w:line="248" w:lineRule="auto"/>
      </w:pPr>
    </w:p>
    <w:p w14:paraId="37DA1DCF">
      <w:pPr>
        <w:pStyle w:val="2"/>
        <w:spacing w:line="249" w:lineRule="auto"/>
      </w:pPr>
    </w:p>
    <w:p w14:paraId="0AE61A20">
      <w:pPr>
        <w:pStyle w:val="2"/>
        <w:spacing w:line="249" w:lineRule="auto"/>
      </w:pPr>
    </w:p>
    <w:p w14:paraId="1FD13237">
      <w:pPr>
        <w:pStyle w:val="2"/>
        <w:spacing w:line="249" w:lineRule="auto"/>
      </w:pPr>
    </w:p>
    <w:p w14:paraId="2BBF63FB">
      <w:pPr>
        <w:pStyle w:val="2"/>
        <w:spacing w:line="249" w:lineRule="auto"/>
      </w:pPr>
    </w:p>
    <w:p w14:paraId="5B286AC2">
      <w:pPr>
        <w:pStyle w:val="2"/>
        <w:spacing w:line="249" w:lineRule="auto"/>
      </w:pPr>
    </w:p>
    <w:p w14:paraId="18C054B3">
      <w:pPr>
        <w:spacing w:before="114" w:line="224" w:lineRule="auto"/>
        <w:ind w:left="365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z w:val="35"/>
          <w:szCs w:val="35"/>
        </w:rPr>
        <w:t>（参考文本）</w:t>
      </w:r>
    </w:p>
    <w:p w14:paraId="32B3FAAB">
      <w:pPr>
        <w:spacing w:line="224" w:lineRule="auto"/>
        <w:rPr>
          <w:rFonts w:ascii="宋体" w:hAnsi="宋体" w:eastAsia="宋体" w:cs="宋体"/>
          <w:sz w:val="35"/>
          <w:szCs w:val="35"/>
        </w:rPr>
        <w:sectPr>
          <w:headerReference r:id="rId5" w:type="default"/>
          <w:footerReference r:id="rId6" w:type="default"/>
          <w:pgSz w:w="11906" w:h="16839"/>
          <w:pgMar w:top="1297" w:right="1246" w:bottom="1166" w:left="1246" w:header="398" w:footer="95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729233E9">
      <w:pPr>
        <w:pStyle w:val="2"/>
        <w:spacing w:line="414" w:lineRule="auto"/>
      </w:pPr>
    </w:p>
    <w:p w14:paraId="6E13F7A7">
      <w:pPr>
        <w:spacing w:before="176" w:line="219" w:lineRule="auto"/>
        <w:ind w:left="359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合同范本（仅供参考）</w:t>
      </w:r>
    </w:p>
    <w:p w14:paraId="7A7E55DF">
      <w:pPr>
        <w:pStyle w:val="2"/>
        <w:spacing w:line="310" w:lineRule="auto"/>
      </w:pPr>
    </w:p>
    <w:p w14:paraId="62AA6E73">
      <w:pPr>
        <w:pStyle w:val="2"/>
        <w:spacing w:line="310" w:lineRule="auto"/>
      </w:pPr>
    </w:p>
    <w:p w14:paraId="1FE95EC3">
      <w:pPr>
        <w:tabs>
          <w:tab w:val="left" w:pos="2280"/>
        </w:tabs>
        <w:spacing w:before="78" w:line="353" w:lineRule="auto"/>
        <w:ind w:left="12" w:firstLine="46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 w:color="auto"/>
        </w:rPr>
        <w:tab/>
      </w:r>
      <w:r>
        <w:rPr>
          <w:rFonts w:ascii="宋体" w:hAnsi="宋体" w:eastAsia="宋体" w:cs="宋体"/>
          <w:spacing w:val="3"/>
          <w:sz w:val="24"/>
          <w:szCs w:val="24"/>
        </w:rPr>
        <w:t>（以下简称甲方</w:t>
      </w:r>
      <w:r>
        <w:rPr>
          <w:rFonts w:ascii="宋体" w:hAnsi="宋体" w:eastAsia="宋体" w:cs="宋体"/>
          <w:spacing w:val="-16"/>
          <w:sz w:val="24"/>
          <w:szCs w:val="24"/>
        </w:rPr>
        <w:t>）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           </w:t>
      </w:r>
      <w:r>
        <w:rPr>
          <w:rFonts w:ascii="宋体" w:hAnsi="宋体" w:eastAsia="宋体" w:cs="宋体"/>
          <w:spacing w:val="-16"/>
          <w:sz w:val="24"/>
          <w:szCs w:val="24"/>
          <w:u w:val="single" w:color="auto"/>
        </w:rPr>
        <w:t>（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>项目名称）</w:t>
      </w:r>
      <w:r>
        <w:rPr>
          <w:rFonts w:ascii="宋体" w:hAnsi="宋体" w:eastAsia="宋体" w:cs="宋体"/>
          <w:spacing w:val="3"/>
          <w:sz w:val="24"/>
          <w:szCs w:val="24"/>
        </w:rPr>
        <w:t>采购，由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>华地众信工程项目管理有限公司</w:t>
      </w:r>
      <w:r>
        <w:rPr>
          <w:rFonts w:ascii="宋体" w:hAnsi="宋体" w:eastAsia="宋体" w:cs="宋体"/>
          <w:spacing w:val="-4"/>
          <w:sz w:val="24"/>
          <w:szCs w:val="24"/>
        </w:rPr>
        <w:t>组织采购，选定</w:t>
      </w:r>
      <w:r>
        <w:rPr>
          <w:rFonts w:ascii="宋体" w:hAnsi="宋体" w:eastAsia="宋体" w:cs="宋体"/>
          <w:spacing w:val="-11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</w:t>
      </w:r>
      <w:r>
        <w:rPr>
          <w:rFonts w:ascii="宋体" w:hAnsi="宋体" w:eastAsia="宋体" w:cs="宋体"/>
          <w:spacing w:val="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(以下简称乙方）为该项目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乙方</w:t>
      </w:r>
      <w:r>
        <w:rPr>
          <w:rFonts w:ascii="宋体" w:hAnsi="宋体" w:eastAsia="宋体" w:cs="宋体"/>
          <w:spacing w:val="-4"/>
          <w:sz w:val="24"/>
          <w:szCs w:val="24"/>
        </w:rPr>
        <w:t>。依据</w:t>
      </w:r>
      <w:r>
        <w:rPr>
          <w:rFonts w:ascii="宋体" w:hAnsi="宋体" w:eastAsia="宋体" w:cs="宋体"/>
          <w:spacing w:val="1"/>
          <w:sz w:val="24"/>
          <w:szCs w:val="24"/>
        </w:rPr>
        <w:t>《中华人民共和国民法典》和《中华人民共和国政府采购法》，经甲、乙双方共同协商，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按下述条款和条件签署本合同。</w:t>
      </w:r>
    </w:p>
    <w:p w14:paraId="5772F696">
      <w:pPr>
        <w:spacing w:before="35" w:line="219" w:lineRule="auto"/>
        <w:ind w:left="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一、合同内容</w:t>
      </w:r>
    </w:p>
    <w:p w14:paraId="77CDA8AA">
      <w:pPr>
        <w:spacing w:before="183" w:line="338" w:lineRule="auto"/>
        <w:ind w:left="11" w:right="51" w:firstLine="50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乙方负责按照合同确定的设备名称、规格型号、数量、产地、配置内容及技术标准组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织供货，按时运到甲方指定的交货地点；负责设备到货后的安</w:t>
      </w:r>
      <w:r>
        <w:rPr>
          <w:rFonts w:ascii="宋体" w:hAnsi="宋体" w:eastAsia="宋体" w:cs="宋体"/>
          <w:spacing w:val="-1"/>
          <w:sz w:val="24"/>
          <w:szCs w:val="24"/>
        </w:rPr>
        <w:t>装及系统调试；确保系统所</w:t>
      </w:r>
      <w:r>
        <w:rPr>
          <w:rFonts w:ascii="宋体" w:hAnsi="宋体" w:eastAsia="宋体" w:cs="宋体"/>
          <w:sz w:val="24"/>
          <w:szCs w:val="24"/>
        </w:rPr>
        <w:t xml:space="preserve"> 有设备各项指标达到要求；负责操作和管理人员的培训工作，</w:t>
      </w:r>
      <w:r>
        <w:rPr>
          <w:rFonts w:ascii="宋体" w:hAnsi="宋体" w:eastAsia="宋体" w:cs="宋体"/>
          <w:spacing w:val="-1"/>
          <w:sz w:val="24"/>
          <w:szCs w:val="24"/>
        </w:rPr>
        <w:t>保证甲方能够正常操作和维护，同时乙方根据设备的使用特性做好售后服务。</w:t>
      </w:r>
    </w:p>
    <w:tbl>
      <w:tblPr>
        <w:tblStyle w:val="7"/>
        <w:tblW w:w="7977" w:type="dxa"/>
        <w:tblInd w:w="7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799"/>
        <w:gridCol w:w="1286"/>
        <w:gridCol w:w="1576"/>
        <w:gridCol w:w="1169"/>
        <w:gridCol w:w="1166"/>
        <w:gridCol w:w="1177"/>
      </w:tblGrid>
      <w:tr w14:paraId="0979D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804" w:type="dxa"/>
            <w:tcBorders>
              <w:left w:val="single" w:color="000000" w:sz="2" w:space="0"/>
            </w:tcBorders>
            <w:vAlign w:val="top"/>
          </w:tcPr>
          <w:p w14:paraId="0C3061A4">
            <w:pPr>
              <w:spacing w:line="273" w:lineRule="auto"/>
              <w:rPr>
                <w:rFonts w:ascii="Arial"/>
                <w:sz w:val="21"/>
              </w:rPr>
            </w:pPr>
          </w:p>
          <w:p w14:paraId="02BE23D2">
            <w:pPr>
              <w:pStyle w:val="8"/>
              <w:spacing w:before="78" w:line="221" w:lineRule="auto"/>
              <w:ind w:left="166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799" w:type="dxa"/>
            <w:vAlign w:val="top"/>
          </w:tcPr>
          <w:p w14:paraId="158D7F3B">
            <w:pPr>
              <w:spacing w:line="274" w:lineRule="auto"/>
              <w:rPr>
                <w:rFonts w:ascii="Arial"/>
                <w:sz w:val="21"/>
              </w:rPr>
            </w:pPr>
          </w:p>
          <w:p w14:paraId="5F33A6EC">
            <w:pPr>
              <w:pStyle w:val="8"/>
              <w:spacing w:before="78" w:line="221" w:lineRule="auto"/>
              <w:ind w:left="162"/>
            </w:pPr>
            <w:r>
              <w:rPr>
                <w:b/>
                <w:bCs/>
                <w:spacing w:val="-9"/>
              </w:rPr>
              <w:t>名称</w:t>
            </w:r>
          </w:p>
        </w:tc>
        <w:tc>
          <w:tcPr>
            <w:tcW w:w="1286" w:type="dxa"/>
            <w:vAlign w:val="top"/>
          </w:tcPr>
          <w:p w14:paraId="6646EB4B">
            <w:pPr>
              <w:spacing w:line="274" w:lineRule="auto"/>
              <w:rPr>
                <w:rFonts w:ascii="Arial"/>
                <w:sz w:val="21"/>
              </w:rPr>
            </w:pPr>
          </w:p>
          <w:p w14:paraId="02152A64">
            <w:pPr>
              <w:pStyle w:val="8"/>
              <w:spacing w:before="78" w:line="219" w:lineRule="auto"/>
              <w:ind w:left="122"/>
            </w:pPr>
            <w:r>
              <w:rPr>
                <w:b/>
                <w:bCs/>
                <w:spacing w:val="-8"/>
              </w:rPr>
              <w:t>品牌/型号</w:t>
            </w:r>
          </w:p>
        </w:tc>
        <w:tc>
          <w:tcPr>
            <w:tcW w:w="1576" w:type="dxa"/>
            <w:vAlign w:val="top"/>
          </w:tcPr>
          <w:p w14:paraId="293A6F6B">
            <w:pPr>
              <w:spacing w:line="274" w:lineRule="auto"/>
              <w:rPr>
                <w:rFonts w:ascii="Arial"/>
                <w:sz w:val="21"/>
              </w:rPr>
            </w:pPr>
          </w:p>
          <w:p w14:paraId="7CB631B2">
            <w:pPr>
              <w:pStyle w:val="8"/>
              <w:spacing w:before="78" w:line="219" w:lineRule="auto"/>
              <w:ind w:left="551"/>
            </w:pPr>
            <w:r>
              <w:rPr>
                <w:b/>
                <w:bCs/>
                <w:spacing w:val="-8"/>
              </w:rPr>
              <w:t>产地</w:t>
            </w:r>
          </w:p>
        </w:tc>
        <w:tc>
          <w:tcPr>
            <w:tcW w:w="1169" w:type="dxa"/>
            <w:vAlign w:val="top"/>
          </w:tcPr>
          <w:p w14:paraId="53FA6E2F">
            <w:pPr>
              <w:spacing w:line="274" w:lineRule="auto"/>
              <w:rPr>
                <w:rFonts w:ascii="Arial"/>
                <w:sz w:val="21"/>
              </w:rPr>
            </w:pPr>
          </w:p>
          <w:p w14:paraId="698EF469">
            <w:pPr>
              <w:pStyle w:val="8"/>
              <w:spacing w:before="78" w:line="219" w:lineRule="auto"/>
              <w:ind w:left="350"/>
            </w:pPr>
            <w:r>
              <w:rPr>
                <w:b/>
                <w:bCs/>
                <w:spacing w:val="-9"/>
              </w:rPr>
              <w:t>数量</w:t>
            </w:r>
          </w:p>
        </w:tc>
        <w:tc>
          <w:tcPr>
            <w:tcW w:w="1166" w:type="dxa"/>
            <w:vAlign w:val="top"/>
          </w:tcPr>
          <w:p w14:paraId="0587EC0D">
            <w:pPr>
              <w:pStyle w:val="8"/>
              <w:spacing w:before="119" w:line="314" w:lineRule="auto"/>
              <w:ind w:left="242" w:right="233" w:firstLine="110"/>
            </w:pPr>
            <w:r>
              <w:rPr>
                <w:b/>
                <w:bCs/>
                <w:spacing w:val="-9"/>
              </w:rPr>
              <w:t>单价</w:t>
            </w:r>
            <w:r>
              <w:t xml:space="preserve">  </w:t>
            </w:r>
            <w:r>
              <w:rPr>
                <w:b/>
                <w:bCs/>
                <w:spacing w:val="-16"/>
              </w:rPr>
              <w:t>（元）</w:t>
            </w:r>
          </w:p>
        </w:tc>
        <w:tc>
          <w:tcPr>
            <w:tcW w:w="1177" w:type="dxa"/>
            <w:vAlign w:val="top"/>
          </w:tcPr>
          <w:p w14:paraId="644BD369">
            <w:pPr>
              <w:pStyle w:val="8"/>
              <w:spacing w:before="119" w:line="314" w:lineRule="auto"/>
              <w:ind w:left="244" w:right="241" w:firstLine="115"/>
            </w:pPr>
            <w:r>
              <w:rPr>
                <w:b/>
                <w:bCs/>
                <w:spacing w:val="-11"/>
              </w:rPr>
              <w:t>总价</w:t>
            </w:r>
            <w:r>
              <w:t xml:space="preserve">  </w:t>
            </w:r>
            <w:r>
              <w:rPr>
                <w:b/>
                <w:bCs/>
                <w:spacing w:val="-16"/>
              </w:rPr>
              <w:t>（元）</w:t>
            </w:r>
          </w:p>
        </w:tc>
      </w:tr>
      <w:tr w14:paraId="69AD4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804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 w14:paraId="20A1ADC4">
            <w:pPr>
              <w:pStyle w:val="8"/>
              <w:spacing w:before="151" w:line="184" w:lineRule="auto"/>
              <w:ind w:left="364"/>
            </w:pPr>
            <w:r>
              <w:t>1</w:t>
            </w:r>
          </w:p>
        </w:tc>
        <w:tc>
          <w:tcPr>
            <w:tcW w:w="799" w:type="dxa"/>
            <w:tcBorders>
              <w:bottom w:val="single" w:color="000000" w:sz="2" w:space="0"/>
            </w:tcBorders>
            <w:vAlign w:val="top"/>
          </w:tcPr>
          <w:p w14:paraId="5EA2C371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bottom w:val="single" w:color="000000" w:sz="2" w:space="0"/>
            </w:tcBorders>
            <w:vAlign w:val="top"/>
          </w:tcPr>
          <w:p w14:paraId="18DE02C1">
            <w:pPr>
              <w:rPr>
                <w:rFonts w:ascii="Arial"/>
                <w:sz w:val="21"/>
              </w:rPr>
            </w:pPr>
          </w:p>
        </w:tc>
        <w:tc>
          <w:tcPr>
            <w:tcW w:w="1576" w:type="dxa"/>
            <w:tcBorders>
              <w:bottom w:val="single" w:color="000000" w:sz="2" w:space="0"/>
            </w:tcBorders>
            <w:vAlign w:val="top"/>
          </w:tcPr>
          <w:p w14:paraId="5B5A9EDF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tcBorders>
              <w:bottom w:val="single" w:color="000000" w:sz="2" w:space="0"/>
            </w:tcBorders>
            <w:vAlign w:val="top"/>
          </w:tcPr>
          <w:p w14:paraId="5C88AFBE"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tcBorders>
              <w:bottom w:val="single" w:color="000000" w:sz="2" w:space="0"/>
            </w:tcBorders>
            <w:vAlign w:val="top"/>
          </w:tcPr>
          <w:p w14:paraId="16168031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tcBorders>
              <w:bottom w:val="single" w:color="000000" w:sz="2" w:space="0"/>
            </w:tcBorders>
            <w:vAlign w:val="top"/>
          </w:tcPr>
          <w:p w14:paraId="7D815D92">
            <w:pPr>
              <w:rPr>
                <w:rFonts w:ascii="Arial"/>
                <w:sz w:val="21"/>
              </w:rPr>
            </w:pPr>
          </w:p>
        </w:tc>
      </w:tr>
      <w:tr w14:paraId="33E8E4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804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 w14:paraId="6A7BBE99">
            <w:pPr>
              <w:pStyle w:val="8"/>
              <w:spacing w:before="155" w:line="183" w:lineRule="auto"/>
              <w:ind w:left="349"/>
            </w:pPr>
            <w:r>
              <w:t>2</w:t>
            </w:r>
          </w:p>
        </w:tc>
        <w:tc>
          <w:tcPr>
            <w:tcW w:w="799" w:type="dxa"/>
            <w:tcBorders>
              <w:top w:val="single" w:color="000000" w:sz="2" w:space="0"/>
            </w:tcBorders>
            <w:vAlign w:val="top"/>
          </w:tcPr>
          <w:p w14:paraId="0A1EE33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top w:val="single" w:color="000000" w:sz="2" w:space="0"/>
            </w:tcBorders>
            <w:vAlign w:val="top"/>
          </w:tcPr>
          <w:p w14:paraId="1C2870E3">
            <w:pPr>
              <w:rPr>
                <w:rFonts w:ascii="Arial"/>
                <w:sz w:val="21"/>
              </w:rPr>
            </w:pPr>
          </w:p>
        </w:tc>
        <w:tc>
          <w:tcPr>
            <w:tcW w:w="1576" w:type="dxa"/>
            <w:tcBorders>
              <w:top w:val="single" w:color="000000" w:sz="2" w:space="0"/>
            </w:tcBorders>
            <w:vAlign w:val="top"/>
          </w:tcPr>
          <w:p w14:paraId="5FB324E9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tcBorders>
              <w:top w:val="single" w:color="000000" w:sz="2" w:space="0"/>
            </w:tcBorders>
            <w:vAlign w:val="top"/>
          </w:tcPr>
          <w:p w14:paraId="66CD121C"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tcBorders>
              <w:top w:val="single" w:color="000000" w:sz="2" w:space="0"/>
            </w:tcBorders>
            <w:vAlign w:val="top"/>
          </w:tcPr>
          <w:p w14:paraId="2952B9BE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tcBorders>
              <w:top w:val="single" w:color="000000" w:sz="2" w:space="0"/>
            </w:tcBorders>
            <w:vAlign w:val="top"/>
          </w:tcPr>
          <w:p w14:paraId="34A45170">
            <w:pPr>
              <w:rPr>
                <w:rFonts w:ascii="Arial"/>
                <w:sz w:val="21"/>
              </w:rPr>
            </w:pPr>
          </w:p>
        </w:tc>
      </w:tr>
      <w:tr w14:paraId="2F048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04" w:type="dxa"/>
            <w:tcBorders>
              <w:left w:val="single" w:color="000000" w:sz="2" w:space="0"/>
            </w:tcBorders>
            <w:vAlign w:val="top"/>
          </w:tcPr>
          <w:p w14:paraId="102DE8FE">
            <w:pPr>
              <w:pStyle w:val="8"/>
              <w:spacing w:before="153" w:line="183" w:lineRule="auto"/>
              <w:ind w:left="351"/>
            </w:pPr>
            <w:r>
              <w:t>3</w:t>
            </w:r>
          </w:p>
        </w:tc>
        <w:tc>
          <w:tcPr>
            <w:tcW w:w="799" w:type="dxa"/>
            <w:vAlign w:val="top"/>
          </w:tcPr>
          <w:p w14:paraId="39CD969D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C717965">
            <w:pPr>
              <w:rPr>
                <w:rFonts w:ascii="Arial"/>
                <w:sz w:val="21"/>
              </w:rPr>
            </w:pPr>
          </w:p>
        </w:tc>
        <w:tc>
          <w:tcPr>
            <w:tcW w:w="1576" w:type="dxa"/>
            <w:vAlign w:val="top"/>
          </w:tcPr>
          <w:p w14:paraId="3615484A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0A698C65"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vAlign w:val="top"/>
          </w:tcPr>
          <w:p w14:paraId="05355A30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vAlign w:val="top"/>
          </w:tcPr>
          <w:p w14:paraId="251ABCEC">
            <w:pPr>
              <w:rPr>
                <w:rFonts w:ascii="Arial"/>
                <w:sz w:val="21"/>
              </w:rPr>
            </w:pPr>
          </w:p>
        </w:tc>
      </w:tr>
      <w:tr w14:paraId="019032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04" w:type="dxa"/>
            <w:tcBorders>
              <w:left w:val="single" w:color="000000" w:sz="2" w:space="0"/>
            </w:tcBorders>
            <w:vAlign w:val="top"/>
          </w:tcPr>
          <w:p w14:paraId="1BFBBD77">
            <w:pPr>
              <w:pStyle w:val="8"/>
              <w:spacing w:before="153" w:line="183" w:lineRule="auto"/>
              <w:ind w:left="346"/>
            </w:pPr>
            <w:r>
              <w:t>4</w:t>
            </w:r>
          </w:p>
        </w:tc>
        <w:tc>
          <w:tcPr>
            <w:tcW w:w="799" w:type="dxa"/>
            <w:vAlign w:val="top"/>
          </w:tcPr>
          <w:p w14:paraId="24911E1C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329D8119">
            <w:pPr>
              <w:rPr>
                <w:rFonts w:ascii="Arial"/>
                <w:sz w:val="21"/>
              </w:rPr>
            </w:pPr>
          </w:p>
        </w:tc>
        <w:tc>
          <w:tcPr>
            <w:tcW w:w="1576" w:type="dxa"/>
            <w:vAlign w:val="top"/>
          </w:tcPr>
          <w:p w14:paraId="25A215C4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7F87C2A8"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vAlign w:val="top"/>
          </w:tcPr>
          <w:p w14:paraId="46214959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vAlign w:val="top"/>
          </w:tcPr>
          <w:p w14:paraId="082B9DA4">
            <w:pPr>
              <w:rPr>
                <w:rFonts w:ascii="Arial"/>
                <w:sz w:val="21"/>
              </w:rPr>
            </w:pPr>
          </w:p>
        </w:tc>
      </w:tr>
      <w:tr w14:paraId="6DF42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04" w:type="dxa"/>
            <w:tcBorders>
              <w:left w:val="single" w:color="000000" w:sz="2" w:space="0"/>
            </w:tcBorders>
            <w:vAlign w:val="top"/>
          </w:tcPr>
          <w:p w14:paraId="76ED67B1">
            <w:pPr>
              <w:pStyle w:val="8"/>
              <w:spacing w:before="157" w:line="182" w:lineRule="auto"/>
              <w:ind w:left="351"/>
            </w:pPr>
            <w:r>
              <w:t>5</w:t>
            </w:r>
          </w:p>
        </w:tc>
        <w:tc>
          <w:tcPr>
            <w:tcW w:w="799" w:type="dxa"/>
            <w:vAlign w:val="top"/>
          </w:tcPr>
          <w:p w14:paraId="7C4A9AD1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0FD3DCD0">
            <w:pPr>
              <w:rPr>
                <w:rFonts w:ascii="Arial"/>
                <w:sz w:val="21"/>
              </w:rPr>
            </w:pPr>
          </w:p>
        </w:tc>
        <w:tc>
          <w:tcPr>
            <w:tcW w:w="1576" w:type="dxa"/>
            <w:vAlign w:val="top"/>
          </w:tcPr>
          <w:p w14:paraId="69BE65D2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1186F4E9"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vAlign w:val="top"/>
          </w:tcPr>
          <w:p w14:paraId="082DC720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vAlign w:val="top"/>
          </w:tcPr>
          <w:p w14:paraId="009F7FD7">
            <w:pPr>
              <w:rPr>
                <w:rFonts w:ascii="Arial"/>
                <w:sz w:val="21"/>
              </w:rPr>
            </w:pPr>
          </w:p>
        </w:tc>
      </w:tr>
      <w:tr w14:paraId="6E462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04" w:type="dxa"/>
            <w:tcBorders>
              <w:left w:val="single" w:color="000000" w:sz="2" w:space="0"/>
            </w:tcBorders>
            <w:vAlign w:val="top"/>
          </w:tcPr>
          <w:p w14:paraId="1F91FC8E">
            <w:pPr>
              <w:pStyle w:val="8"/>
              <w:spacing w:before="295" w:line="99" w:lineRule="exact"/>
              <w:ind w:left="233"/>
            </w:pPr>
            <w:r>
              <w:rPr>
                <w:position w:val="1"/>
              </w:rPr>
              <w:t>...</w:t>
            </w:r>
          </w:p>
        </w:tc>
        <w:tc>
          <w:tcPr>
            <w:tcW w:w="799" w:type="dxa"/>
            <w:vAlign w:val="top"/>
          </w:tcPr>
          <w:p w14:paraId="46370BEC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4914DD16">
            <w:pPr>
              <w:rPr>
                <w:rFonts w:ascii="Arial"/>
                <w:sz w:val="21"/>
              </w:rPr>
            </w:pPr>
          </w:p>
        </w:tc>
        <w:tc>
          <w:tcPr>
            <w:tcW w:w="1576" w:type="dxa"/>
            <w:vAlign w:val="top"/>
          </w:tcPr>
          <w:p w14:paraId="79052F97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1A48487C"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vAlign w:val="top"/>
          </w:tcPr>
          <w:p w14:paraId="7D9FED28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vAlign w:val="top"/>
          </w:tcPr>
          <w:p w14:paraId="061DE65F">
            <w:pPr>
              <w:rPr>
                <w:rFonts w:ascii="Arial"/>
                <w:sz w:val="21"/>
              </w:rPr>
            </w:pPr>
          </w:p>
        </w:tc>
      </w:tr>
      <w:tr w14:paraId="6BA1B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977" w:type="dxa"/>
            <w:gridSpan w:val="7"/>
            <w:vAlign w:val="top"/>
          </w:tcPr>
          <w:p w14:paraId="074B396C">
            <w:pPr>
              <w:pStyle w:val="8"/>
              <w:spacing w:before="119" w:line="343" w:lineRule="exact"/>
              <w:ind w:left="3767"/>
            </w:pPr>
            <w:r>
              <w:rPr>
                <w:spacing w:val="-13"/>
                <w:position w:val="2"/>
              </w:rPr>
              <w:t>……</w:t>
            </w:r>
          </w:p>
        </w:tc>
      </w:tr>
      <w:tr w14:paraId="4D9EB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977" w:type="dxa"/>
            <w:gridSpan w:val="7"/>
            <w:vAlign w:val="top"/>
          </w:tcPr>
          <w:p w14:paraId="30873D4E">
            <w:pPr>
              <w:pStyle w:val="8"/>
              <w:spacing w:before="119" w:line="220" w:lineRule="auto"/>
              <w:ind w:left="16"/>
            </w:pPr>
            <w:r>
              <w:rPr>
                <w:spacing w:val="-5"/>
              </w:rPr>
              <w:t>大写：</w:t>
            </w:r>
            <w:r>
              <w:t xml:space="preserve">                           </w:t>
            </w:r>
            <w:r>
              <w:rPr>
                <w:spacing w:val="-5"/>
              </w:rPr>
              <w:t>小写：</w:t>
            </w:r>
          </w:p>
        </w:tc>
      </w:tr>
      <w:tr w14:paraId="7800D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7977" w:type="dxa"/>
            <w:gridSpan w:val="7"/>
            <w:vAlign w:val="top"/>
          </w:tcPr>
          <w:p w14:paraId="66F70094">
            <w:pPr>
              <w:pStyle w:val="8"/>
              <w:spacing w:before="122" w:line="219" w:lineRule="auto"/>
              <w:ind w:left="14"/>
            </w:pPr>
            <w:r>
              <w:rPr>
                <w:spacing w:val="-11"/>
              </w:rPr>
              <w:t>保留小数点后两位。</w:t>
            </w:r>
          </w:p>
        </w:tc>
      </w:tr>
    </w:tbl>
    <w:p w14:paraId="53D69194">
      <w:pPr>
        <w:pStyle w:val="2"/>
        <w:spacing w:line="466" w:lineRule="auto"/>
      </w:pPr>
    </w:p>
    <w:p w14:paraId="259E1458">
      <w:pPr>
        <w:spacing w:before="79" w:line="218" w:lineRule="auto"/>
        <w:ind w:left="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二、合同价格</w:t>
      </w:r>
    </w:p>
    <w:p w14:paraId="7D7DDA4A">
      <w:pPr>
        <w:spacing w:before="183" w:line="347" w:lineRule="auto"/>
        <w:ind w:left="13" w:right="3651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合同总价：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>人民币       元整</w:t>
      </w:r>
      <w:r>
        <w:rPr>
          <w:rFonts w:ascii="宋体" w:hAnsi="宋体" w:eastAsia="宋体" w:cs="宋体"/>
          <w:spacing w:val="21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>(¥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     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 xml:space="preserve">元） 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说明：</w:t>
      </w:r>
    </w:p>
    <w:p w14:paraId="55888778">
      <w:pPr>
        <w:spacing w:before="34" w:line="290" w:lineRule="auto"/>
        <w:ind w:right="51"/>
        <w:rPr>
          <w:rFonts w:ascii="宋体" w:hAnsi="宋体" w:eastAsia="宋体" w:cs="宋体"/>
          <w:sz w:val="24"/>
          <w:szCs w:val="24"/>
          <w:highlight w:val="none"/>
        </w:rPr>
      </w:pPr>
      <w:bookmarkStart w:id="0" w:name="_GoBack"/>
      <w:r>
        <w:rPr>
          <w:rFonts w:ascii="宋体" w:hAnsi="宋体" w:eastAsia="宋体" w:cs="宋体"/>
          <w:sz w:val="24"/>
          <w:szCs w:val="24"/>
          <w:highlight w:val="none"/>
        </w:rPr>
        <w:t>（一）合同总价包含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本次采购中全部报价的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费用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  <w:lang w:val="en-US" w:eastAsia="zh-CN"/>
        </w:rPr>
        <w:t>包含税金、人工、安装和调试等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  <w:lang w:eastAsia="zh-CN"/>
        </w:rPr>
        <w:t>）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。</w:t>
      </w:r>
    </w:p>
    <w:p w14:paraId="5DE1E7E5">
      <w:pPr>
        <w:spacing w:before="183" w:line="218" w:lineRule="auto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（二）合同总价作为结算的唯一依据。</w:t>
      </w:r>
    </w:p>
    <w:bookmarkEnd w:id="0"/>
    <w:p w14:paraId="5B9CB40D">
      <w:pPr>
        <w:spacing w:before="185" w:line="219" w:lineRule="auto"/>
        <w:ind w:left="1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三、合同款项支付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eastAsia="zh-CN"/>
        </w:rPr>
        <w:t>（以甲乙双方签订合同时，具体情况为准）</w:t>
      </w:r>
    </w:p>
    <w:p w14:paraId="4B6B5DFA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headerReference r:id="rId7" w:type="default"/>
          <w:footerReference r:id="rId8" w:type="default"/>
          <w:pgSz w:w="11906" w:h="16839"/>
          <w:pgMar w:top="400" w:right="1246" w:bottom="1166" w:left="1246" w:header="0" w:footer="95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45A5D6BA">
      <w:pPr>
        <w:spacing w:before="183" w:line="313" w:lineRule="auto"/>
        <w:ind w:left="9" w:firstLine="498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支付方式：银行转账</w:t>
      </w:r>
    </w:p>
    <w:p w14:paraId="7DBB62C2">
      <w:pPr>
        <w:spacing w:before="183" w:line="313" w:lineRule="auto"/>
        <w:ind w:left="9" w:firstLine="498"/>
        <w:rPr>
          <w:rFonts w:hint="eastAsia"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结算要求：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1.第一次付款：签订合同后，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应在7个工作日内书面提出支付申请函及与拟支付金额等额的符合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财务管理要求的相应发票，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确认后应在7个工作日内支付合同总金额的30%。</w:t>
      </w:r>
    </w:p>
    <w:p w14:paraId="57EF16C0">
      <w:pPr>
        <w:spacing w:before="183" w:line="313" w:lineRule="auto"/>
        <w:ind w:left="9" w:firstLine="498"/>
        <w:rPr>
          <w:rFonts w:hint="eastAsia" w:ascii="宋体" w:hAnsi="宋体" w:eastAsia="宋体" w:cs="宋体"/>
          <w:spacing w:val="-3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2.第二次付款：项目硬件设备全部到达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指定地点，数量、型号、规格经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验收后，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应在7个工作日内书面提出支付申请函及与拟支付金额等额的符合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财务管理要求的相应发票，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确认后应在7个工作日内支付合同总金额的30%。</w:t>
      </w:r>
    </w:p>
    <w:p w14:paraId="03135A5E">
      <w:pPr>
        <w:spacing w:before="183" w:line="313" w:lineRule="auto"/>
        <w:ind w:left="9" w:firstLine="498"/>
        <w:rPr>
          <w:rFonts w:hint="eastAsia" w:ascii="宋体" w:hAnsi="宋体" w:eastAsia="宋体" w:cs="宋体"/>
          <w:spacing w:val="-3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3.第三次付款：完成系统开发及安装调试后，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应在7个工作日内书面提出支付申请函及与拟支付金额等额的符合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财务管理要求的相应发票，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确认后应在7个工作日内支付合同总金额的20%。</w:t>
      </w:r>
    </w:p>
    <w:p w14:paraId="1F7FC62B">
      <w:pPr>
        <w:spacing w:before="183" w:line="313" w:lineRule="auto"/>
        <w:ind w:left="9" w:firstLine="498"/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4.第四次付款：项目培训全部结束并完成最终验收后，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应在7个工作日内书面提出支付申请函及与拟支付金额等额的符合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财务管理要求的相应发票，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确认后应在7个工作日内支付项目剩余资金（合同总金额的20%）。</w:t>
      </w:r>
    </w:p>
    <w:p w14:paraId="6847D6B8">
      <w:pPr>
        <w:spacing w:before="33" w:line="219" w:lineRule="auto"/>
        <w:ind w:left="3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四、包装、运输、安装要求及人员培训</w:t>
      </w:r>
    </w:p>
    <w:p w14:paraId="658F712A">
      <w:pPr>
        <w:spacing w:before="183" w:line="313" w:lineRule="auto"/>
        <w:ind w:left="9" w:firstLine="4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1、包装：应采取防潮、防晒、防腐蚀、防震动及防止其它损坏的必要措施。中标单位应承担由于其包装或防护措施不妥而引起的货物锈蚀、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损坏和丢失等任何损失造成的责任或费用。</w:t>
      </w:r>
    </w:p>
    <w:p w14:paraId="2C194AFE">
      <w:pPr>
        <w:spacing w:before="184" w:line="313" w:lineRule="auto"/>
        <w:ind w:left="10" w:right="69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2、运输：选择运输风险小、运费低、距离短的运输路线。运杂费一次包死在总价内，</w:t>
      </w:r>
      <w:r>
        <w:rPr>
          <w:rFonts w:ascii="宋体" w:hAnsi="宋体" w:eastAsia="宋体" w:cs="宋体"/>
          <w:sz w:val="24"/>
          <w:szCs w:val="24"/>
        </w:rPr>
        <w:t>包括生产厂到施工现场所需的装卸、运输（含保险费）、现场保</w:t>
      </w:r>
      <w:r>
        <w:rPr>
          <w:rFonts w:ascii="宋体" w:hAnsi="宋体" w:eastAsia="宋体" w:cs="宋体"/>
          <w:spacing w:val="-1"/>
          <w:sz w:val="24"/>
          <w:szCs w:val="24"/>
        </w:rPr>
        <w:t>管费、二次倒运费、吊装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费等费用。</w:t>
      </w:r>
    </w:p>
    <w:p w14:paraId="65867439">
      <w:pPr>
        <w:spacing w:before="182" w:line="218" w:lineRule="auto"/>
        <w:ind w:left="495"/>
        <w:rPr>
          <w:rFonts w:ascii="宋体" w:hAnsi="宋体" w:eastAsia="宋体" w:cs="宋体"/>
          <w:spacing w:val="-6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3、安装：中标单位负责所有设备的安装工作，所有费用一次包死在总价内。</w:t>
      </w:r>
    </w:p>
    <w:p w14:paraId="01A65AA6">
      <w:pPr>
        <w:spacing w:before="183" w:line="219" w:lineRule="auto"/>
        <w:ind w:left="495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人员培训</w:t>
      </w:r>
      <w:r>
        <w:rPr>
          <w:rFonts w:ascii="宋体" w:hAnsi="宋体" w:eastAsia="宋体" w:cs="宋体"/>
          <w:sz w:val="24"/>
          <w:szCs w:val="24"/>
        </w:rPr>
        <w:t>：投标人应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按采购需求对相关工作人员进行培训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5BB74961">
      <w:pPr>
        <w:spacing w:before="183" w:line="220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  <w:t>五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、其他事项</w:t>
      </w:r>
    </w:p>
    <w:p w14:paraId="0454FFB3">
      <w:pPr>
        <w:spacing w:before="183" w:line="289" w:lineRule="auto"/>
        <w:ind w:left="9" w:right="130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（一）在合同的履行期间以及履行期后，监管部门可以随时检查项目的执行情况，对</w:t>
      </w:r>
      <w:r>
        <w:rPr>
          <w:rFonts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采购标准、采购内容进行调查核实，并对发现的问题进行处理。</w:t>
      </w:r>
    </w:p>
    <w:p w14:paraId="3B5485BC">
      <w:pPr>
        <w:spacing w:before="184" w:line="289" w:lineRule="auto"/>
        <w:ind w:left="133" w:right="80" w:firstLine="36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（二）本合同一式六份，甲方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        </w:t>
      </w:r>
      <w:r>
        <w:rPr>
          <w:rFonts w:ascii="宋体" w:hAnsi="宋体" w:eastAsia="宋体" w:cs="宋体"/>
          <w:spacing w:val="-7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四份，乙方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10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一份，采购代理机</w:t>
      </w:r>
      <w:r>
        <w:rPr>
          <w:rFonts w:ascii="宋体" w:hAnsi="宋体" w:eastAsia="宋体" w:cs="宋体"/>
          <w:spacing w:val="-1"/>
          <w:sz w:val="24"/>
          <w:szCs w:val="24"/>
        </w:rPr>
        <w:t>构一份，甲乙双方签字盖章后生效。</w:t>
      </w:r>
    </w:p>
    <w:p w14:paraId="135BE726">
      <w:pPr>
        <w:spacing w:before="183" w:line="290" w:lineRule="auto"/>
        <w:ind w:left="12" w:right="130" w:firstLine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（三）招标文件、投标文件也是合同的组成部分，合同中未约定的以招标文件、投标</w:t>
      </w:r>
      <w:r>
        <w:rPr>
          <w:rFonts w:ascii="宋体" w:hAnsi="宋体" w:eastAsia="宋体" w:cs="宋体"/>
          <w:spacing w:val="-3"/>
          <w:sz w:val="24"/>
          <w:szCs w:val="24"/>
        </w:rPr>
        <w:t>文件为准。</w:t>
      </w:r>
    </w:p>
    <w:p w14:paraId="748F892A">
      <w:pPr>
        <w:spacing w:before="184" w:line="221" w:lineRule="auto"/>
        <w:ind w:left="6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合同签订地点：</w:t>
      </w:r>
    </w:p>
    <w:p w14:paraId="7FF37A20">
      <w:pPr>
        <w:spacing w:before="180" w:line="219" w:lineRule="auto"/>
        <w:ind w:left="6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合同签订时间：    年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2"/>
          <w:sz w:val="24"/>
          <w:szCs w:val="24"/>
        </w:rPr>
        <w:t>月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2"/>
          <w:sz w:val="24"/>
          <w:szCs w:val="24"/>
        </w:rPr>
        <w:t>日</w:t>
      </w:r>
    </w:p>
    <w:p w14:paraId="44F3CE56">
      <w:pPr>
        <w:pStyle w:val="2"/>
        <w:spacing w:line="258" w:lineRule="auto"/>
      </w:pPr>
    </w:p>
    <w:p w14:paraId="2837A8E8">
      <w:pPr>
        <w:pStyle w:val="2"/>
        <w:spacing w:line="258" w:lineRule="auto"/>
      </w:pPr>
    </w:p>
    <w:p w14:paraId="0C1CFAF3">
      <w:pPr>
        <w:pStyle w:val="2"/>
        <w:spacing w:line="259" w:lineRule="auto"/>
      </w:pPr>
    </w:p>
    <w:p w14:paraId="74BA4A1D">
      <w:pPr>
        <w:pStyle w:val="2"/>
        <w:spacing w:line="259" w:lineRule="auto"/>
      </w:pPr>
    </w:p>
    <w:p w14:paraId="1F634BB5">
      <w:pPr>
        <w:spacing w:before="78" w:line="221" w:lineRule="auto"/>
        <w:ind w:left="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1"/>
          <w:sz w:val="24"/>
          <w:szCs w:val="24"/>
        </w:rPr>
        <w:t>甲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21"/>
          <w:sz w:val="24"/>
          <w:szCs w:val="24"/>
        </w:rPr>
        <w:t>方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                          </w:t>
      </w:r>
      <w:r>
        <w:rPr>
          <w:rFonts w:ascii="宋体" w:hAnsi="宋体" w:eastAsia="宋体" w:cs="宋体"/>
          <w:spacing w:val="-21"/>
          <w:sz w:val="24"/>
          <w:szCs w:val="24"/>
        </w:rPr>
        <w:t>乙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21"/>
          <w:sz w:val="24"/>
          <w:szCs w:val="24"/>
        </w:rPr>
        <w:t>方</w:t>
      </w:r>
    </w:p>
    <w:p w14:paraId="2C621F64">
      <w:pPr>
        <w:spacing w:before="181" w:line="220" w:lineRule="auto"/>
        <w:ind w:left="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单位名称：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                     </w:t>
      </w:r>
      <w:r>
        <w:rPr>
          <w:rFonts w:ascii="宋体" w:hAnsi="宋体" w:eastAsia="宋体" w:cs="宋体"/>
          <w:spacing w:val="-3"/>
          <w:sz w:val="24"/>
          <w:szCs w:val="24"/>
        </w:rPr>
        <w:t>单位名称：</w:t>
      </w:r>
    </w:p>
    <w:p w14:paraId="421DCE92">
      <w:pPr>
        <w:spacing w:before="182" w:line="229" w:lineRule="auto"/>
        <w:ind w:left="1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2"/>
          <w:sz w:val="24"/>
          <w:szCs w:val="24"/>
        </w:rPr>
        <w:t>地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12"/>
          <w:sz w:val="24"/>
          <w:szCs w:val="24"/>
        </w:rPr>
        <w:t>址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2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</w:rPr>
        <w:t xml:space="preserve">                          </w:t>
      </w:r>
      <w:r>
        <w:rPr>
          <w:rFonts w:ascii="宋体" w:hAnsi="宋体" w:eastAsia="宋体" w:cs="宋体"/>
          <w:spacing w:val="-12"/>
          <w:sz w:val="24"/>
          <w:szCs w:val="24"/>
        </w:rPr>
        <w:t>地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12"/>
          <w:sz w:val="24"/>
          <w:szCs w:val="24"/>
        </w:rPr>
        <w:t>址：</w:t>
      </w:r>
    </w:p>
    <w:p w14:paraId="656C5549">
      <w:pPr>
        <w:pStyle w:val="2"/>
        <w:spacing w:line="255" w:lineRule="auto"/>
      </w:pPr>
    </w:p>
    <w:p w14:paraId="1E003699">
      <w:pPr>
        <w:pStyle w:val="2"/>
        <w:spacing w:line="255" w:lineRule="auto"/>
      </w:pPr>
    </w:p>
    <w:p w14:paraId="341ED5E1">
      <w:pPr>
        <w:pStyle w:val="2"/>
        <w:spacing w:line="256" w:lineRule="auto"/>
      </w:pPr>
    </w:p>
    <w:p w14:paraId="7A781D79">
      <w:pPr>
        <w:pStyle w:val="2"/>
        <w:spacing w:line="256" w:lineRule="auto"/>
      </w:pPr>
    </w:p>
    <w:p w14:paraId="0D2174F3">
      <w:pPr>
        <w:spacing w:before="79" w:line="219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法人代表：              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      法人代表：</w:t>
      </w:r>
    </w:p>
    <w:p w14:paraId="6A78C9E4">
      <w:pPr>
        <w:pStyle w:val="2"/>
        <w:spacing w:line="284" w:lineRule="auto"/>
      </w:pPr>
    </w:p>
    <w:p w14:paraId="29FAEE9A">
      <w:pPr>
        <w:pStyle w:val="2"/>
        <w:spacing w:line="285" w:lineRule="auto"/>
      </w:pPr>
    </w:p>
    <w:p w14:paraId="4FDD4E53">
      <w:pPr>
        <w:spacing w:before="79" w:line="221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联系电话：              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      联系电话：</w:t>
      </w:r>
    </w:p>
    <w:p w14:paraId="42F78FB4">
      <w:pPr>
        <w:spacing w:before="180" w:line="220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开 户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行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</w:rPr>
        <w:t xml:space="preserve">                         </w:t>
      </w:r>
      <w:r>
        <w:rPr>
          <w:rFonts w:ascii="宋体" w:hAnsi="宋体" w:eastAsia="宋体" w:cs="宋体"/>
          <w:spacing w:val="-10"/>
          <w:sz w:val="24"/>
          <w:szCs w:val="24"/>
        </w:rPr>
        <w:t>开</w:t>
      </w:r>
      <w:r>
        <w:rPr>
          <w:rFonts w:ascii="宋体" w:hAnsi="宋体" w:eastAsia="宋体" w:cs="宋体"/>
          <w:spacing w:val="2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户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行：</w:t>
      </w:r>
    </w:p>
    <w:p w14:paraId="0638863F">
      <w:r>
        <w:rPr>
          <w:rFonts w:ascii="宋体" w:hAnsi="宋体" w:eastAsia="宋体" w:cs="宋体"/>
          <w:spacing w:val="-15"/>
          <w:sz w:val="24"/>
          <w:szCs w:val="24"/>
        </w:rPr>
        <w:t>账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15"/>
          <w:sz w:val="24"/>
          <w:szCs w:val="24"/>
        </w:rPr>
        <w:t>号</w:t>
      </w:r>
      <w:r>
        <w:rPr>
          <w:rFonts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</w:rPr>
        <w:t xml:space="preserve">                         </w:t>
      </w:r>
      <w:r>
        <w:rPr>
          <w:rFonts w:ascii="宋体" w:hAnsi="宋体" w:eastAsia="宋体" w:cs="宋体"/>
          <w:spacing w:val="-15"/>
          <w:sz w:val="24"/>
          <w:szCs w:val="24"/>
        </w:rPr>
        <w:t>账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15"/>
          <w:sz w:val="24"/>
          <w:szCs w:val="24"/>
        </w:rPr>
        <w:t>号：</w:t>
      </w:r>
    </w:p>
    <w:sectPr>
      <w:headerReference r:id="rId9" w:type="default"/>
      <w:footerReference r:id="rId10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A722F">
    <w:pPr>
      <w:spacing w:line="209" w:lineRule="auto"/>
      <w:ind w:left="399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9" name="文本框 1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0228F9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TBMpg0AgAAZQQAAA4AAABkcnMvZTJvRG9jLnhtbK1UzY7TMBC+I/EO&#10;lu80aVes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BkwTKY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0228F9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1D508">
    <w:pPr>
      <w:spacing w:line="209" w:lineRule="auto"/>
      <w:ind w:left="399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0" name="文本框 1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D7F828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ZyGFIzAgAAZQ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ZyGFI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D7F828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D3DA2">
    <w:pPr>
      <w:spacing w:line="209" w:lineRule="auto"/>
      <w:ind w:left="399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2" name="文本框 1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E396D1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EMVLA0AgAAZQ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CBDFSw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E396D1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72EF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7505E">
    <w:pPr>
      <w:pStyle w:val="2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CF9D6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970BB7"/>
    <w:rsid w:val="4CDA7664"/>
    <w:rsid w:val="59872C7D"/>
    <w:rsid w:val="5D34566C"/>
    <w:rsid w:val="654F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1291</Words>
  <Characters>1306</Characters>
  <Lines>0</Lines>
  <Paragraphs>0</Paragraphs>
  <TotalTime>177</TotalTime>
  <ScaleCrop>false</ScaleCrop>
  <LinksUpToDate>false</LinksUpToDate>
  <CharactersWithSpaces>1632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2026-05-06T06:48:00Z</dcterms:created>
  <dc:creator>Administrator</dc:creator>
  <cp:lastModifiedBy>c</cp:lastModifiedBy>
  <dcterms:modified xsi:type="dcterms:W3CDTF">2026-05-12T01:03:47Z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eyJoZGlkIjoiMDQwNDdmODVmN2IxZTQxYTdmNmVlNmJmNTY5ODc4N2IiLCJ1c2VySWQiOiI0MzM4NDQ1NTYifQ==</vt:lpwstr>
  </property>
  <property fmtid="{D5CDD505-2E9C-101B-9397-08002B2CF9AE}" pid="4" name="ICV">
    <vt:lpwstr>69FD65DBA58F4A66A14D19E296F48859_13</vt:lpwstr>
  </property>
</Properties>
</file>