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C2C44">
      <w:pPr>
        <w:spacing w:before="186" w:line="219" w:lineRule="auto"/>
        <w:ind w:left="3816"/>
        <w:outlineLvl w:val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5"/>
          <w:sz w:val="30"/>
          <w:szCs w:val="30"/>
        </w:rPr>
        <w:t>技术部分</w:t>
      </w:r>
    </w:p>
    <w:p w14:paraId="59FF787E">
      <w:pPr>
        <w:spacing w:before="217" w:line="347" w:lineRule="auto"/>
        <w:ind w:left="22" w:right="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1.投标人按照招标文件“第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三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章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招标项目技术、服务、商务及其他要求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”及“第五章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评审方法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”中的评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分标准进行编制，格式不限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。</w:t>
      </w:r>
    </w:p>
    <w:p w14:paraId="047A03BB">
      <w:pPr>
        <w:ind w:firstLine="470" w:firstLineChars="200"/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2.投标人需要说明的其他问题。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3C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2026-05-06T07:41:34Z</dcterms:created>
  <dc:creator>Administrator</dc:creator>
  <cp:lastModifiedBy>游憩</cp:lastModifiedBy>
  <dcterms:modified xsi:type="dcterms:W3CDTF">2026-05-06T07:44:02Z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E18B479B1BE449098121B07433F73A74_12</vt:lpwstr>
  </property>
</Properties>
</file>