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版本号：HZJ2026-CS-00320260704001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三原县工商局小区2区等8个老旧小区改造(小区内配套基础设施)项目-设计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HZJ2026-CS-003</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三原县工商局小区2区等8个老旧小区改造(小区内配套基础设施)项目-设计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HZJ2026-CS-003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三原县工商局小区2区等8个老旧小区改造(小区内配套基础设施)项目-设计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工商局小区2区等8个老旧小区改造(小区内配套基础设施)项目，项目选址位于三原县城区机引小区、滨港小区、税务小区、东四路邮政家属院、鞋厂小区、工商局小区2区、气象局家属院、五号信箱2区;本次改造小区共8个;涉及改造户数1116户。主要对小区内配套基础设施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采购包1（三原县工商局小区2区等8个老旧小区改造(小区内配套基础设施)项目-设计）：属于专门面向中小企业采购。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资格证明：具备建设行政部门核发的工程设计建筑行业资质乙级及以上资质或工程设计建筑行业(建筑工程)专业资质乙级及以上资质，拟派项目负责人须具备(建筑工程相关专业)高级及以上技术职称或一级注册建筑师，提供开标截止时间前6个月内至少一个月供应商为其缴纳的社会保险证明材料（五险一金提供一项即可），且无不良记录；</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采购包1：332,900.00元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工商局小区2区等8个老旧小区改造(小区内配套基础设施)项目，项目选址位于三原县城区机引小区、滨港小区、税务小区、东四路邮政家属院、鞋厂小区、工商局小区2区、气象局家属院、五号信箱2区;本次改造小区共8个;涉及改造户数1116户。主要对小区内配套基础设施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332,900.00</w:t>
      </w:r>
    </w:p>
    <w:p>
      <w:pPr>
        <w:pStyle w:val="null3"/>
      </w:pPr>
      <w:r>
        <w:rPr>
          <w:rFonts w:ascii="仿宋_GB2312" w:hAnsi="仿宋_GB2312" w:cs="仿宋_GB2312" w:eastAsia="仿宋_GB2312"/>
        </w:rPr>
        <w:t>采购包最高限价（元）: 332,900.00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三原县工商局小区2区等8个老旧小区改造(小区内配套基础设施)项目-设计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标的名称：三原县工商局小区2区等8个老旧小区改造(小区内配套基础设施)项目-设计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2"/>
            </w:pPr>
            <w:r>
              <w:rPr>
                <w:rFonts w:ascii="仿宋_GB2312" w:hAnsi="仿宋_GB2312" w:cs="仿宋_GB2312" w:eastAsia="仿宋_GB2312"/>
                <w:sz w:val="28"/>
                <w:b/>
              </w:rPr>
              <w:t>一、设施兼容适配性技术性能分析</w:t>
            </w:r>
          </w:p>
          <w:p>
            <w:pPr>
              <w:pStyle w:val="null3"/>
            </w:pPr>
            <w:r>
              <w:rPr>
                <w:rFonts w:ascii="仿宋_GB2312" w:hAnsi="仿宋_GB2312" w:cs="仿宋_GB2312" w:eastAsia="仿宋_GB2312"/>
              </w:rPr>
              <w:t>本次各小区配套基础设施改造严格遵循原有小区建筑布局、地下管网布设、公共空间规划的原有格局，所有改造施工工艺、设备选型、管材构件参数均与小区原有市政配套体系、建筑主体结构高度兼容。改造过程充分适配各老旧小区建成年限久、原有配套标准不一、管线布局复杂的现状特点，优先适配原有市政接驳端口与基础设施运行体系，实现新旧设施的平稳衔接与融合联动。改造所用各类建材、设施设备均适配本地气候环境与城区住宅配套标准，可有效适配日常使用损耗与自然环境侵蚀，全程规避新增改造内容与原有建筑、管线、道路设施出现冲突的问题，保障改造后整套基础设施系统兼容互通、平稳运行。</w:t>
            </w:r>
          </w:p>
          <w:p>
            <w:pPr>
              <w:pStyle w:val="null3"/>
              <w:outlineLvl w:val="2"/>
            </w:pPr>
            <w:r>
              <w:rPr>
                <w:rFonts w:ascii="仿宋_GB2312" w:hAnsi="仿宋_GB2312" w:cs="仿宋_GB2312" w:eastAsia="仿宋_GB2312"/>
                <w:sz w:val="28"/>
                <w:b/>
              </w:rPr>
              <w:t>二、民生功能适配性技术性能分析</w:t>
            </w:r>
          </w:p>
          <w:p>
            <w:pPr>
              <w:pStyle w:val="null3"/>
            </w:pPr>
            <w:r>
              <w:rPr>
                <w:rFonts w:ascii="仿宋_GB2312" w:hAnsi="仿宋_GB2312" w:cs="仿宋_GB2312" w:eastAsia="仿宋_GB2312"/>
              </w:rPr>
              <w:t>本项目所有改造技术指标与性能标准均以优化居民居住体验、完善基础生活配套功能为核心导向，全面对标城镇老旧小区人居环境提质的核心要求。通过对小区内部各类配套基础设施的系统性改造，彻底改善原有设施功能退化、配套缺失、使用体验较差的现状，全面完善小区通行、基础供水供电、公共照明、场地配套等基础民生功能。改造后的公共配套体系可全方位适配居民日常起居、出行通行、小区公共运维等常态化使用场景，同时兼顾日常便民使用与特殊情况应急保障的双重功能，适配全年龄段居民居住需求，设施操作简单、后期运维便捷，切实提升小区居住的实用性、便利性与舒适性。</w:t>
            </w:r>
          </w:p>
          <w:p>
            <w:pPr>
              <w:pStyle w:val="null3"/>
              <w:outlineLvl w:val="2"/>
            </w:pPr>
            <w:r>
              <w:rPr>
                <w:rFonts w:ascii="仿宋_GB2312" w:hAnsi="仿宋_GB2312" w:cs="仿宋_GB2312" w:eastAsia="仿宋_GB2312"/>
                <w:sz w:val="28"/>
                <w:b/>
              </w:rPr>
              <w:t>三、工程质量耐久性技术性能分析</w:t>
            </w:r>
          </w:p>
          <w:p>
            <w:pPr>
              <w:pStyle w:val="null3"/>
            </w:pPr>
            <w:r>
              <w:rPr>
                <w:rFonts w:ascii="仿宋_GB2312" w:hAnsi="仿宋_GB2312" w:cs="仿宋_GB2312" w:eastAsia="仿宋_GB2312"/>
              </w:rPr>
              <w:t>项目改造所采用的施工工艺、工程用材及设施技术参数均严格符合国家及地方老旧小区改造工程质量验收规范，具备优良的物理性能与环境耐受性能。所有改造后的基础设施具备良好的抗老化、抗磨损、抗腐蚀、抗形变能力，可有效抵御本地温差变化、风雨冲刷等自然环境因素的长期影响。改造完成的管网系统、道路铺装、公共配套设施等核心工程结构稳固、运行稳定，能够有效解决老旧设施易破损、易渗漏、易故障等各类通病。整体工程兼顾短期环境提质与长期长效运维的建设目标，性能稳定可靠，可大幅降低后期设施养护、维修、更换的运维成本，保障小区基础设施长期安全合规、持续稳定发挥使用效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其他，提交正式成果后，达到付款条件起30个工作日内，支付合同总金额的80.0%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其他，竣工验收后，达到付款条件起30个工作日内，支付合同总金额的20.0%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具备建设行政部门核发的工程设计建筑行业资质乙级及以上资质或工程设计建筑行业(建筑工程)专业资质乙级及以上资质，拟派项目负责人须具备(建筑工程相关专业)高级及以上技术职称或一级注册建筑师，提供开标截止时间前6个月内至少一个月供应商为其缴纳的社会保险证明材料（五险一金提供一项即可），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针对本项目的理解，内容包括但不限于①项目背景与建设意义认知②项目核心建设重点认知③项目核心功能定位认知④项目整体实施认知等。方案内容详细完整、针对性强、可行性高，符合项目实际要求。 每项满分1分，缺项不得分，每项内容存在 缺陷，扣0.5分。缺陷是指内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针对本项目的重难点分析，包括①重点难点识别全面性②应对措施针对性③技术衔接与兼容性问题④建议可行性等。方案内容详细完整、针对性强、可行性高，符合项目实际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针对本项目的实施方案，包括①设计目标定位②现状调研③功能布局规划④建筑风貌塑造⑤基础设施更新升级⑥绿色环保⑦可持续发展。方案内容详细完整、针对性强、可行性高，符合项目实际要求。 每项满分1分，缺项不得分 , 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针对本项目的设计质量控制的保证措施，包括①规范执行与标准落地②全流程质量管控机制③专业协同与技术复核④质量追溯与动态优化等。方案内容详细完整、针对性强、可行性高，符合项目实际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针对本项目的设计服务组织的保证措施，包括①材料设备造价管控标准与要求②施工过程造价管控标准与要求③工程变更与签证管控标准与要求④竣工结算造价管控标准与要求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针对本项目的设计时间进度安排计划，包括①阶段划分与关键节点②资源配置与进度保障③风险应对与动态调整④进度可视化与验收标准等。方案内容详细完整、针对性强、可行性高，符合项目实际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项目设计方案</w:t>
            </w:r>
          </w:p>
        </w:tc>
        <w:tc>
          <w:tcPr>
            <w:tcW w:type="dxa" w:w="2492"/>
          </w:tcPr>
          <w:p>
            <w:pPr>
              <w:pStyle w:val="null3"/>
            </w:pPr>
            <w:r>
              <w:rPr>
                <w:rFonts w:ascii="仿宋_GB2312" w:hAnsi="仿宋_GB2312" w:cs="仿宋_GB2312" w:eastAsia="仿宋_GB2312"/>
              </w:rPr>
              <w:t>针对本项目的项目设计方案，包括①排水管道改造、供暖管道改造、燃气改造②道路整治③电力设施改造、电信设施改造④生活垃圾分类、小区绿化整治、照明设施改善、规划新增停车位、⑤新建非机动车车棚、增设电动自行车充电设施、增设室外体育健身设施、破损围墙修缮，设置通透式围墙增设智能感知设施等内容。方案内容详细完整、针对性强、可行性高，符合项目实际 要求。 每项满分2，缺项不得分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针对本项目的项目服务承诺，包括①响应及时性保障②设计变更管理③后期服务跟进等。方案内容详细完整、针对性强、可行性高，符合项目实际 要求。 每项满分1分，缺项不得分 , 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项目组配备高级及以上职称人员，每配备 1 名得 3 分，本项最高 15 分；配备中级职称人员，每配备 1 名得 2 分，本项最高 10 分。 注：投标时须提供对应人员职称证书、身份证复印件并加盖投标人公章，未按要求提供有效佐证材料的人员不计分（同一人员同时具备高级、中级职称的，仅按高级职称计分，不重复累加中级分值）。所有参与计分的职称人员，均须提供开标前半年内任意一个月的社保缴纳证明，无有效社保佐证的人员不予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投标人拟派项目负责人具备类似项目业绩的，须提供对应业绩的正式合同文件作为唯一有效佐证材料，且合同中必须明确载明项目负责人姓名。每提供1份真实、合规、有效的类似业绩合同得3分，本项累计最高得分15分。凡未提供合同佐证、合同未体现项目负责人姓名、合同资料无效、关键信息缺失或业绩类型不匹配的，本份业绩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供应商自2023 年 1月至今具有类似项目业绩 ，每提供一份合同得2分，共计10分。（注：提供设计服务合同，时间以合同签订时间为准）。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投标报价得分=（评标基准价/投标报价）×价格权值。 符合招标文件规定的小微企业、监狱企业、残疾人福利企业优惠条 件的供应商，价格给予 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