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版本号：DZDL-2026-045Z20260716001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2026年陕西省群众体育五级联赛暨西安市社区运动会市级决赛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DZDL-2026-045Z</w:t>
      </w:r>
      <w:r>
        <w:br/>
      </w:r>
      <w:r>
        <w:br/>
      </w:r>
      <w:r>
        <w:br/>
      </w:r>
    </w:p>
    <w:p>
      <w:pPr>
        <w:pStyle w:val="null3"/>
        <w:jc w:val="center"/>
        <w:outlineLvl w:val="2"/>
      </w:pPr>
      <w:r>
        <w:rPr>
          <w:rFonts w:ascii="仿宋_GB2312" w:hAnsi="仿宋_GB2312" w:cs="仿宋_GB2312" w:eastAsia="仿宋_GB2312"/>
          <w:sz w:val="28"/>
          <w:b/>
        </w:rPr>
        <w:t>西安市体育局（本级）</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西安市体育局（本级）</w:t>
      </w:r>
      <w:r>
        <w:rPr>
          <w:rFonts w:ascii="仿宋_GB2312" w:hAnsi="仿宋_GB2312" w:cs="仿宋_GB2312" w:eastAsia="仿宋_GB2312"/>
        </w:rPr>
        <w:t>委托，拟对</w:t>
      </w:r>
      <w:r>
        <w:rPr>
          <w:rFonts w:ascii="仿宋_GB2312" w:hAnsi="仿宋_GB2312" w:cs="仿宋_GB2312" w:eastAsia="仿宋_GB2312"/>
        </w:rPr>
        <w:t>2026年陕西省群众体育五级联赛暨西安市社区运动会市级决赛</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DZDL-2026-045Z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2026年陕西省群众体育五级联赛暨西安市社区运动会市级决赛</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分为两个采购包，分别为（采购包1）2026年陕西省五级联赛暨西安市社区运动会“省级示范赛点”赛事及配套活动，（采购包2）篮球、气排球、毽球、跳绳、围棋、象棋6个项目赛事及配套活动。本次政府采购活动拟采购承办该体育赛事活动的供应商，以完成2026年陕西省群众体育五级联赛暨西安市社区运动会市级决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采购包1（2026年陕西省五级联赛暨西安市社区运动会“省级示范赛点”赛事及配套活动）：属于预留采购份额面向中小企业采购，预留比例为100%。</w:t>
      </w:r>
    </w:p>
    <w:p>
      <w:pPr>
        <w:pStyle w:val="null3"/>
      </w:pPr>
      <w:r>
        <w:rPr>
          <w:rFonts w:ascii="仿宋_GB2312" w:hAnsi="仿宋_GB2312" w:cs="仿宋_GB2312" w:eastAsia="仿宋_GB2312"/>
        </w:rPr>
        <w:t>采购包2（篮球、气排球、毽球、跳绳、围棋、象棋6个项目赛事及配套活动）：属于预留采购份额面向中小企业采购，预留比例为100%。</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 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经计算不足6000的，按6000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西安市体育局（本级）</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所提供的服务及其任何一部分，以及采购人在中华人民共和国境内使用本项目成果时，均不会侵犯任何第三方的知识产权（包括但不限于专利权、商标权、著作权、商业秘密等）。2.如果采购人因使用本项目服务成果而被任何第三方诉称侵犯其知识产权，供应商应负责处理这一指控，并应以供应商的名义自负费用向起诉方提出抗辩。由此可能产生的一切法律责任和经济责任均由供应商承担。3.一旦出现侵犯第三方知识产权的索赔或诉讼，由供应商承担全部责任。若采购人因此被第三方索赔或被判决承担赔偿责任，采购人有权向供应商全额追偿（追偿范围包括但不限于赔偿款项、律师费、诉讼费、保全费等全部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本次采购项目磋商文件、响应文件、澄清表（函）；合同及附件文本；合同签订时的国家及行业现行的标准和技术规范。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本次采购项目磋商文件、响应文件、澄清表（函）；合同及附件文本；合同签订时的国家及行业现行的标准和技术规范。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分为两个采购包，分别为（采购包1）2026年陕西省五级联赛暨西安市社区运动会“省级示范赛点”赛事及配套活动，（采购包2）篮球、气排球、毽球、跳绳、围棋、象棋6个项目赛事及配套活动。本次政府采购活动拟采购承办该体育赛事活动的供应商，以完成2026年陕西省群众体育五级联赛暨西安市社区运动会市级决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体育赛事组织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届</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体育赛事组织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届</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标的名称：体育赛事组织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2026年陕西省五级联赛暨西安市社区运动会“省级示范赛点”赛事及配套活动采购</w:t>
            </w:r>
            <w:r>
              <w:rPr>
                <w:rFonts w:ascii="仿宋_GB2312" w:hAnsi="仿宋_GB2312" w:cs="仿宋_GB2312" w:eastAsia="仿宋_GB2312"/>
                <w:sz w:val="24"/>
                <w:b/>
              </w:rPr>
              <w:t>服务</w:t>
            </w:r>
            <w:r>
              <w:rPr>
                <w:rFonts w:ascii="仿宋_GB2312" w:hAnsi="仿宋_GB2312" w:cs="仿宋_GB2312" w:eastAsia="仿宋_GB2312"/>
                <w:sz w:val="24"/>
                <w:b/>
              </w:rPr>
              <w:t>内容</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服务内容</w:t>
            </w:r>
          </w:p>
          <w:p>
            <w:pPr>
              <w:pStyle w:val="null3"/>
              <w:ind w:firstLine="420"/>
              <w:jc w:val="left"/>
            </w:pPr>
            <w:r>
              <w:rPr>
                <w:rFonts w:ascii="仿宋_GB2312" w:hAnsi="仿宋_GB2312" w:cs="仿宋_GB2312" w:eastAsia="仿宋_GB2312"/>
                <w:sz w:val="21"/>
              </w:rPr>
              <w:t>1.供应商负责承担本次比赛的比赛场地、竞赛保障、赛事策划、商务开发、竞赛组织和器材保障、启动仪式及颁奖仪式、媒体宣传推广、场地搭建（含灯光音响）、氛围布置营造、志愿者招募管理、后勤接待保障、各类资料印制、赛事保险、医疗保障、安全保卫、电力、通信保障、奖励奖牌证书采购等。并向使用部门提交赛事总结等与赛事服务运营有关一切事务，方案策划及运营服务需符合体育赛事相应规范要求。</w:t>
            </w:r>
          </w:p>
          <w:p>
            <w:pPr>
              <w:pStyle w:val="null3"/>
              <w:ind w:firstLine="420"/>
              <w:jc w:val="left"/>
            </w:pPr>
            <w:r>
              <w:rPr>
                <w:rFonts w:ascii="仿宋_GB2312" w:hAnsi="仿宋_GB2312" w:cs="仿宋_GB2312" w:eastAsia="仿宋_GB2312"/>
                <w:sz w:val="21"/>
              </w:rPr>
              <w:t>2.比赛总结：高质量、高水平、高效率的协助完成委托的其他工作事项，确保各项工作顺利推进，协助采购人完成赛事相关资料汇总，每项赛事提交赛事总结报告，并及时提交比赛总结报告及相关档案资料，内容齐全。</w:t>
            </w:r>
          </w:p>
          <w:p>
            <w:pPr>
              <w:pStyle w:val="null3"/>
              <w:ind w:firstLine="420"/>
              <w:jc w:val="left"/>
            </w:pPr>
            <w:r>
              <w:rPr>
                <w:rFonts w:ascii="仿宋_GB2312" w:hAnsi="仿宋_GB2312" w:cs="仿宋_GB2312" w:eastAsia="仿宋_GB2312"/>
                <w:sz w:val="21"/>
              </w:rPr>
              <w:t>3.在活动的执行过程中，合作双方应遵循采购人确认原则，即所有的设计策划方案、详细报价的预算及结算等，均由供应商提出建议和说明，但最终以双方确认的内容或方式执行。</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参赛队伍</w:t>
            </w:r>
          </w:p>
          <w:p>
            <w:pPr>
              <w:pStyle w:val="null3"/>
              <w:ind w:firstLine="420"/>
              <w:jc w:val="left"/>
            </w:pPr>
            <w:r>
              <w:rPr>
                <w:rFonts w:ascii="仿宋_GB2312" w:hAnsi="仿宋_GB2312" w:cs="仿宋_GB2312" w:eastAsia="仿宋_GB2312"/>
                <w:sz w:val="21"/>
              </w:rPr>
              <w:t>各区县选拔赛优秀队伍、个人。</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竞赛项目及介绍</w:t>
            </w:r>
          </w:p>
          <w:p>
            <w:pPr>
              <w:pStyle w:val="null3"/>
              <w:ind w:firstLine="420"/>
              <w:jc w:val="left"/>
            </w:pPr>
            <w:r>
              <w:rPr>
                <w:rFonts w:ascii="仿宋_GB2312" w:hAnsi="仿宋_GB2312" w:cs="仿宋_GB2312" w:eastAsia="仿宋_GB2312"/>
                <w:sz w:val="21"/>
              </w:rPr>
              <w:t>竞赛项目：全民健身月启动仪式、社会体育指导员技能大赛、</w:t>
            </w:r>
            <w:r>
              <w:rPr>
                <w:rFonts w:ascii="仿宋_GB2312" w:hAnsi="仿宋_GB2312" w:cs="仿宋_GB2312" w:eastAsia="仿宋_GB2312"/>
                <w:sz w:val="21"/>
              </w:rPr>
              <w:t>2026年陕西省五级联赛暨西安市社区运动会市级决赛（羽毛球、足球）及配套活动</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全民健身月</w:t>
            </w:r>
            <w:r>
              <w:rPr>
                <w:rFonts w:ascii="仿宋_GB2312" w:hAnsi="仿宋_GB2312" w:cs="仿宋_GB2312" w:eastAsia="仿宋_GB2312"/>
                <w:sz w:val="21"/>
              </w:rPr>
              <w:t>启动仪式</w:t>
            </w:r>
            <w:r>
              <w:rPr>
                <w:rFonts w:ascii="仿宋_GB2312" w:hAnsi="仿宋_GB2312" w:cs="仿宋_GB2312" w:eastAsia="仿宋_GB2312"/>
                <w:sz w:val="21"/>
              </w:rPr>
              <w:t>：</w:t>
            </w:r>
            <w:r>
              <w:rPr>
                <w:rFonts w:ascii="仿宋_GB2312" w:hAnsi="仿宋_GB2312" w:cs="仿宋_GB2312" w:eastAsia="仿宋_GB2312"/>
                <w:sz w:val="21"/>
              </w:rPr>
              <w:t>不少于</w:t>
            </w:r>
            <w:r>
              <w:rPr>
                <w:rFonts w:ascii="仿宋_GB2312" w:hAnsi="仿宋_GB2312" w:cs="仿宋_GB2312" w:eastAsia="仿宋_GB2312"/>
                <w:sz w:val="21"/>
              </w:rPr>
              <w:t>8个全民健身节目展演，配套活动（体育嘉年华、文体展演活动、非遗展示体验、体育市集、提供公益健身服务、体质监测、科学健身指导等）</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2.社会体育指导员技能大赛赛事</w:t>
            </w:r>
            <w:r>
              <w:rPr>
                <w:rFonts w:ascii="仿宋_GB2312" w:hAnsi="仿宋_GB2312" w:cs="仿宋_GB2312" w:eastAsia="仿宋_GB2312"/>
                <w:sz w:val="21"/>
              </w:rPr>
              <w:t>规模</w:t>
            </w:r>
            <w:r>
              <w:rPr>
                <w:rFonts w:ascii="仿宋_GB2312" w:hAnsi="仿宋_GB2312" w:cs="仿宋_GB2312" w:eastAsia="仿宋_GB2312"/>
                <w:sz w:val="21"/>
              </w:rPr>
              <w:t>：</w:t>
            </w:r>
            <w:r>
              <w:rPr>
                <w:rFonts w:ascii="仿宋_GB2312" w:hAnsi="仿宋_GB2312" w:cs="仿宋_GB2312" w:eastAsia="仿宋_GB2312"/>
                <w:sz w:val="21"/>
              </w:rPr>
              <w:t>约</w:t>
            </w:r>
            <w:r>
              <w:rPr>
                <w:rFonts w:ascii="仿宋_GB2312" w:hAnsi="仿宋_GB2312" w:cs="仿宋_GB2312" w:eastAsia="仿宋_GB2312"/>
                <w:sz w:val="21"/>
              </w:rPr>
              <w:t>300人</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3.2026年陕西省五级联赛暨西安市社区运动会市级决赛（羽毛球、足球项</w:t>
            </w:r>
            <w:r>
              <w:rPr>
                <w:rFonts w:ascii="仿宋_GB2312" w:hAnsi="仿宋_GB2312" w:cs="仿宋_GB2312" w:eastAsia="仿宋_GB2312"/>
                <w:sz w:val="21"/>
              </w:rPr>
              <w:t>目</w:t>
            </w:r>
            <w:r>
              <w:rPr>
                <w:rFonts w:ascii="仿宋_GB2312" w:hAnsi="仿宋_GB2312" w:cs="仿宋_GB2312" w:eastAsia="仿宋_GB2312"/>
                <w:sz w:val="21"/>
              </w:rPr>
              <w:t>）</w:t>
            </w:r>
            <w:r>
              <w:rPr>
                <w:rFonts w:ascii="仿宋_GB2312" w:hAnsi="仿宋_GB2312" w:cs="仿宋_GB2312" w:eastAsia="仿宋_GB2312"/>
                <w:sz w:val="21"/>
              </w:rPr>
              <w:t>赛事规模</w:t>
            </w:r>
            <w:r>
              <w:rPr>
                <w:rFonts w:ascii="仿宋_GB2312" w:hAnsi="仿宋_GB2312" w:cs="仿宋_GB2312" w:eastAsia="仿宋_GB2312"/>
                <w:sz w:val="21"/>
              </w:rPr>
              <w:t>：</w:t>
            </w:r>
            <w:r>
              <w:rPr>
                <w:rFonts w:ascii="仿宋_GB2312" w:hAnsi="仿宋_GB2312" w:cs="仿宋_GB2312" w:eastAsia="仿宋_GB2312"/>
                <w:sz w:val="21"/>
              </w:rPr>
              <w:t>各项目约</w:t>
            </w:r>
            <w:r>
              <w:rPr>
                <w:rFonts w:ascii="仿宋_GB2312" w:hAnsi="仿宋_GB2312" w:cs="仿宋_GB2312" w:eastAsia="仿宋_GB2312"/>
                <w:sz w:val="21"/>
              </w:rPr>
              <w:t>300人</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第一阶段所有参赛队伍抽签分为</w:t>
            </w:r>
            <w:r>
              <w:rPr>
                <w:rFonts w:ascii="仿宋_GB2312" w:hAnsi="仿宋_GB2312" w:cs="仿宋_GB2312" w:eastAsia="仿宋_GB2312"/>
                <w:sz w:val="21"/>
              </w:rPr>
              <w:t>4个小组分别进行单循环比赛。第二阶段进行单淘汰赛，具体根据报名情况确定。</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保险服务</w:t>
            </w:r>
          </w:p>
          <w:p>
            <w:pPr>
              <w:pStyle w:val="null3"/>
              <w:ind w:firstLine="420"/>
              <w:jc w:val="left"/>
            </w:pPr>
            <w:r>
              <w:rPr>
                <w:rFonts w:ascii="仿宋_GB2312" w:hAnsi="仿宋_GB2312" w:cs="仿宋_GB2312" w:eastAsia="仿宋_GB2312"/>
                <w:sz w:val="21"/>
              </w:rPr>
              <w:t>1.保险对象是指参与本赛事活动的所有人员，投保必须以单位名义，不能以个人名义投保。</w:t>
            </w:r>
          </w:p>
          <w:p>
            <w:pPr>
              <w:pStyle w:val="null3"/>
              <w:ind w:firstLine="420"/>
              <w:jc w:val="left"/>
            </w:pPr>
            <w:r>
              <w:rPr>
                <w:rFonts w:ascii="仿宋_GB2312" w:hAnsi="仿宋_GB2312" w:cs="仿宋_GB2312" w:eastAsia="仿宋_GB2312"/>
                <w:sz w:val="21"/>
              </w:rPr>
              <w:t>2.对举办比赛体育场相关联的风险和责任进行投保，此类保险应向受伤人员或者受损物品和财产进行合适数量赔偿。</w:t>
            </w:r>
          </w:p>
          <w:p>
            <w:pPr>
              <w:pStyle w:val="null3"/>
              <w:ind w:firstLine="420"/>
              <w:jc w:val="left"/>
            </w:pPr>
            <w:r>
              <w:rPr>
                <w:rFonts w:ascii="仿宋_GB2312" w:hAnsi="仿宋_GB2312" w:cs="仿宋_GB2312" w:eastAsia="仿宋_GB2312"/>
                <w:sz w:val="21"/>
              </w:rPr>
              <w:t>3.为所有参赛球员购买覆盖赛事周期的人身意外伤害险和死亡险。</w:t>
            </w:r>
          </w:p>
          <w:p>
            <w:pPr>
              <w:pStyle w:val="null3"/>
              <w:ind w:firstLine="420"/>
              <w:jc w:val="left"/>
            </w:pPr>
            <w:r>
              <w:rPr>
                <w:rFonts w:ascii="仿宋_GB2312" w:hAnsi="仿宋_GB2312" w:cs="仿宋_GB2312" w:eastAsia="仿宋_GB2312"/>
                <w:sz w:val="21"/>
              </w:rPr>
              <w:t>4.承保训练及比赛期间的意外伤害及意外医疗保险。</w:t>
            </w:r>
          </w:p>
          <w:p>
            <w:pPr>
              <w:pStyle w:val="null3"/>
              <w:ind w:firstLine="420"/>
              <w:jc w:val="left"/>
            </w:pPr>
            <w:r>
              <w:rPr>
                <w:rFonts w:ascii="仿宋_GB2312" w:hAnsi="仿宋_GB2312" w:cs="仿宋_GB2312" w:eastAsia="仿宋_GB2312"/>
                <w:sz w:val="21"/>
              </w:rPr>
              <w:t>5.每位被保险人限投一份，多投无效。</w:t>
            </w:r>
          </w:p>
          <w:p>
            <w:pPr>
              <w:pStyle w:val="null3"/>
              <w:ind w:firstLine="420"/>
              <w:jc w:val="left"/>
            </w:pPr>
            <w:r>
              <w:rPr>
                <w:rFonts w:ascii="仿宋_GB2312" w:hAnsi="仿宋_GB2312" w:cs="仿宋_GB2312" w:eastAsia="仿宋_GB2312"/>
                <w:sz w:val="21"/>
              </w:rPr>
              <w:t>6.被保险人应采取合理的预防措施，尽力避免或减少责任事故的发生。</w:t>
            </w:r>
          </w:p>
          <w:p>
            <w:pPr>
              <w:pStyle w:val="null3"/>
              <w:ind w:firstLine="420"/>
              <w:jc w:val="left"/>
            </w:pPr>
            <w:r>
              <w:rPr>
                <w:rFonts w:ascii="仿宋_GB2312" w:hAnsi="仿宋_GB2312" w:cs="仿宋_GB2312" w:eastAsia="仿宋_GB2312"/>
                <w:sz w:val="21"/>
              </w:rPr>
              <w:t>7.参赛队伍同时也要为球队官员和运动员购买保险，应自行负责其运动队在赛区所有比赛中包括运动员和官员在内的保险问题（包括意外门急诊，住院和外科手术或由比赛引发的其他相关问题，如失能，失业等），且参赛队伍必须使各级政府、体育部门免遭此类起诉。</w:t>
            </w:r>
          </w:p>
          <w:p>
            <w:pPr>
              <w:pStyle w:val="null3"/>
              <w:jc w:val="left"/>
            </w:pPr>
            <w:r>
              <w:rPr>
                <w:rFonts w:ascii="仿宋_GB2312" w:hAnsi="仿宋_GB2312" w:cs="仿宋_GB2312" w:eastAsia="仿宋_GB2312"/>
                <w:sz w:val="21"/>
                <w:b/>
              </w:rPr>
              <w:t>五、</w:t>
            </w:r>
            <w:r>
              <w:rPr>
                <w:rFonts w:ascii="仿宋_GB2312" w:hAnsi="仿宋_GB2312" w:cs="仿宋_GB2312" w:eastAsia="仿宋_GB2312"/>
                <w:sz w:val="21"/>
                <w:b/>
              </w:rPr>
              <w:t>医务</w:t>
            </w:r>
          </w:p>
          <w:p>
            <w:pPr>
              <w:pStyle w:val="null3"/>
              <w:ind w:firstLine="420"/>
              <w:jc w:val="left"/>
            </w:pPr>
            <w:r>
              <w:rPr>
                <w:rFonts w:ascii="仿宋_GB2312" w:hAnsi="仿宋_GB2312" w:cs="仿宋_GB2312" w:eastAsia="仿宋_GB2312"/>
                <w:sz w:val="21"/>
              </w:rPr>
              <w:t>1.比赛场地和训练场地均应提供医疗服务，并配备救护车和比赛常备药品。救护车应配AED及使用AED设备的专业医务人员，可供比赛及训练使用。比赛时，救护车应于赛前60分钟抵达赛场，至赛后30分钟离开；训练时，救护车应于训练前30分钟抵达训练场，至训练结束后30分钟离开。</w:t>
            </w:r>
          </w:p>
          <w:p>
            <w:pPr>
              <w:pStyle w:val="null3"/>
              <w:ind w:firstLine="420"/>
              <w:jc w:val="left"/>
            </w:pPr>
            <w:r>
              <w:rPr>
                <w:rFonts w:ascii="仿宋_GB2312" w:hAnsi="仿宋_GB2312" w:cs="仿宋_GB2312" w:eastAsia="仿宋_GB2312"/>
                <w:sz w:val="21"/>
              </w:rPr>
              <w:t>2.赛区应设指定医院，并开通就医相关绿色通道。</w:t>
            </w:r>
          </w:p>
          <w:p>
            <w:pPr>
              <w:pStyle w:val="null3"/>
              <w:jc w:val="left"/>
            </w:pPr>
            <w:r>
              <w:rPr>
                <w:rFonts w:ascii="仿宋_GB2312" w:hAnsi="仿宋_GB2312" w:cs="仿宋_GB2312" w:eastAsia="仿宋_GB2312"/>
                <w:sz w:val="21"/>
                <w:b/>
              </w:rPr>
              <w:t>六、</w:t>
            </w:r>
            <w:r>
              <w:rPr>
                <w:rFonts w:ascii="仿宋_GB2312" w:hAnsi="仿宋_GB2312" w:cs="仿宋_GB2312" w:eastAsia="仿宋_GB2312"/>
                <w:sz w:val="21"/>
                <w:b/>
              </w:rPr>
              <w:t>宣传</w:t>
            </w:r>
          </w:p>
          <w:p>
            <w:pPr>
              <w:pStyle w:val="null3"/>
              <w:ind w:firstLine="420"/>
              <w:jc w:val="left"/>
            </w:pPr>
            <w:r>
              <w:rPr>
                <w:rFonts w:ascii="仿宋_GB2312" w:hAnsi="仿宋_GB2312" w:cs="仿宋_GB2312" w:eastAsia="仿宋_GB2312"/>
                <w:sz w:val="21"/>
              </w:rPr>
              <w:t>1.承办方应成立宣传工作小组，按照要求，确定一名新闻负责人，负责赛事的相关宣传工作。赛事举行期间可根据赛事的情况向当地媒体提供相应的赛事信息和报道素材。赛事期间和全部结束后撰写赛事相关新闻稿(配比赛及活动照片)。发布市级以上宣传稿件4篇以上，各类媒介共计10篇以上。</w:t>
            </w:r>
          </w:p>
          <w:p>
            <w:pPr>
              <w:pStyle w:val="null3"/>
              <w:ind w:firstLine="420"/>
              <w:jc w:val="left"/>
            </w:pPr>
            <w:r>
              <w:rPr>
                <w:rFonts w:ascii="仿宋_GB2312" w:hAnsi="仿宋_GB2312" w:cs="仿宋_GB2312" w:eastAsia="仿宋_GB2312"/>
                <w:sz w:val="21"/>
              </w:rPr>
              <w:t>2.承办方应组织1-2名专业摄影人员对比赛相关活动及每场赛事进行全程录像及图片拍摄，制作宣传视频不少于3条（30秒钟），拍摄的录像和数码图片应按活动名称和比赛对阵名称进行文件分类。</w:t>
            </w:r>
          </w:p>
          <w:p>
            <w:pPr>
              <w:pStyle w:val="null3"/>
              <w:jc w:val="left"/>
            </w:pPr>
            <w:r>
              <w:rPr>
                <w:rFonts w:ascii="仿宋_GB2312" w:hAnsi="仿宋_GB2312" w:cs="仿宋_GB2312" w:eastAsia="仿宋_GB2312"/>
                <w:sz w:val="21"/>
                <w:b/>
              </w:rPr>
              <w:t>七、</w:t>
            </w:r>
            <w:r>
              <w:rPr>
                <w:rFonts w:ascii="仿宋_GB2312" w:hAnsi="仿宋_GB2312" w:cs="仿宋_GB2312" w:eastAsia="仿宋_GB2312"/>
                <w:sz w:val="21"/>
                <w:b/>
              </w:rPr>
              <w:t>秩序册</w:t>
            </w:r>
          </w:p>
          <w:p>
            <w:pPr>
              <w:pStyle w:val="null3"/>
              <w:ind w:firstLine="420"/>
              <w:jc w:val="left"/>
            </w:pPr>
            <w:r>
              <w:rPr>
                <w:rFonts w:ascii="仿宋_GB2312" w:hAnsi="仿宋_GB2312" w:cs="仿宋_GB2312" w:eastAsia="仿宋_GB2312"/>
                <w:sz w:val="21"/>
              </w:rPr>
              <w:t>1.比赛秩序册由供应商制作,秩序册制作数量可根据参赛队数量确定。秩序册内页内容应包括：</w:t>
            </w:r>
          </w:p>
          <w:p>
            <w:pPr>
              <w:pStyle w:val="null3"/>
              <w:ind w:firstLine="420"/>
              <w:jc w:val="left"/>
            </w:pPr>
            <w:r>
              <w:rPr>
                <w:rFonts w:ascii="仿宋_GB2312" w:hAnsi="仿宋_GB2312" w:cs="仿宋_GB2312" w:eastAsia="仿宋_GB2312"/>
                <w:sz w:val="21"/>
              </w:rPr>
              <w:t>①秩序册目录</w:t>
            </w:r>
          </w:p>
          <w:p>
            <w:pPr>
              <w:pStyle w:val="null3"/>
              <w:ind w:firstLine="420"/>
              <w:jc w:val="left"/>
            </w:pPr>
            <w:r>
              <w:rPr>
                <w:rFonts w:ascii="仿宋_GB2312" w:hAnsi="仿宋_GB2312" w:cs="仿宋_GB2312" w:eastAsia="仿宋_GB2312"/>
                <w:sz w:val="21"/>
              </w:rPr>
              <w:t>②项目组委会人员及办事机构成员名单、竞赛官员名单</w:t>
            </w:r>
          </w:p>
          <w:p>
            <w:pPr>
              <w:pStyle w:val="null3"/>
              <w:ind w:firstLine="420"/>
              <w:jc w:val="left"/>
            </w:pPr>
            <w:r>
              <w:rPr>
                <w:rFonts w:ascii="仿宋_GB2312" w:hAnsi="仿宋_GB2312" w:cs="仿宋_GB2312" w:eastAsia="仿宋_GB2312"/>
                <w:sz w:val="21"/>
              </w:rPr>
              <w:t>③项目纪律委员会和仲裁委员会成员名单</w:t>
            </w:r>
          </w:p>
          <w:p>
            <w:pPr>
              <w:pStyle w:val="null3"/>
              <w:ind w:firstLine="420"/>
              <w:jc w:val="left"/>
            </w:pPr>
            <w:r>
              <w:rPr>
                <w:rFonts w:ascii="仿宋_GB2312" w:hAnsi="仿宋_GB2312" w:cs="仿宋_GB2312" w:eastAsia="仿宋_GB2312"/>
                <w:sz w:val="21"/>
              </w:rPr>
              <w:t>④竞赛规程总则</w:t>
            </w:r>
          </w:p>
          <w:p>
            <w:pPr>
              <w:pStyle w:val="null3"/>
              <w:ind w:firstLine="420"/>
              <w:jc w:val="left"/>
            </w:pPr>
            <w:r>
              <w:rPr>
                <w:rFonts w:ascii="仿宋_GB2312" w:hAnsi="仿宋_GB2312" w:cs="仿宋_GB2312" w:eastAsia="仿宋_GB2312"/>
                <w:sz w:val="21"/>
              </w:rPr>
              <w:t>⑤竞赛规程</w:t>
            </w:r>
          </w:p>
          <w:p>
            <w:pPr>
              <w:pStyle w:val="null3"/>
              <w:ind w:firstLine="420"/>
              <w:jc w:val="left"/>
            </w:pPr>
            <w:r>
              <w:rPr>
                <w:rFonts w:ascii="仿宋_GB2312" w:hAnsi="仿宋_GB2312" w:cs="仿宋_GB2312" w:eastAsia="仿宋_GB2312"/>
                <w:sz w:val="21"/>
              </w:rPr>
              <w:t>⑥赛事补充通知</w:t>
            </w:r>
          </w:p>
          <w:p>
            <w:pPr>
              <w:pStyle w:val="null3"/>
              <w:ind w:firstLine="420"/>
              <w:jc w:val="left"/>
            </w:pPr>
            <w:r>
              <w:rPr>
                <w:rFonts w:ascii="仿宋_GB2312" w:hAnsi="仿宋_GB2312" w:cs="仿宋_GB2312" w:eastAsia="仿宋_GB2312"/>
                <w:sz w:val="21"/>
              </w:rPr>
              <w:t>⑦比赛期间各项活动日程</w:t>
            </w:r>
          </w:p>
          <w:p>
            <w:pPr>
              <w:pStyle w:val="null3"/>
              <w:ind w:firstLine="420"/>
              <w:jc w:val="left"/>
            </w:pPr>
            <w:r>
              <w:rPr>
                <w:rFonts w:ascii="仿宋_GB2312" w:hAnsi="仿宋_GB2312" w:cs="仿宋_GB2312" w:eastAsia="仿宋_GB2312"/>
                <w:sz w:val="21"/>
              </w:rPr>
              <w:t>⑧竞赛日程</w:t>
            </w:r>
          </w:p>
          <w:p>
            <w:pPr>
              <w:pStyle w:val="null3"/>
              <w:ind w:firstLine="420"/>
              <w:jc w:val="left"/>
            </w:pPr>
            <w:r>
              <w:rPr>
                <w:rFonts w:ascii="仿宋_GB2312" w:hAnsi="仿宋_GB2312" w:cs="仿宋_GB2312" w:eastAsia="仿宋_GB2312"/>
                <w:sz w:val="21"/>
              </w:rPr>
              <w:t>⑨参赛运动员名单</w:t>
            </w:r>
          </w:p>
          <w:p>
            <w:pPr>
              <w:pStyle w:val="null3"/>
              <w:ind w:firstLine="420"/>
              <w:jc w:val="left"/>
            </w:pPr>
            <w:r>
              <w:rPr>
                <w:rFonts w:ascii="仿宋_GB2312" w:hAnsi="仿宋_GB2312" w:cs="仿宋_GB2312" w:eastAsia="仿宋_GB2312"/>
                <w:sz w:val="21"/>
              </w:rPr>
              <w:t>⑩其他补充说明</w:t>
            </w:r>
          </w:p>
          <w:p>
            <w:pPr>
              <w:pStyle w:val="null3"/>
              <w:jc w:val="left"/>
            </w:pPr>
            <w:r>
              <w:rPr>
                <w:rFonts w:ascii="仿宋_GB2312" w:hAnsi="仿宋_GB2312" w:cs="仿宋_GB2312" w:eastAsia="仿宋_GB2312"/>
                <w:sz w:val="21"/>
                <w:b/>
                <w:color w:val="000000"/>
              </w:rPr>
              <w:t>八、</w:t>
            </w:r>
            <w:r>
              <w:rPr>
                <w:rFonts w:ascii="仿宋_GB2312" w:hAnsi="仿宋_GB2312" w:cs="仿宋_GB2312" w:eastAsia="仿宋_GB2312"/>
                <w:sz w:val="21"/>
                <w:b/>
                <w:color w:val="000000"/>
              </w:rPr>
              <w:t>总结及报告</w:t>
            </w:r>
          </w:p>
          <w:p>
            <w:pPr>
              <w:pStyle w:val="null3"/>
              <w:ind w:firstLine="420"/>
              <w:jc w:val="left"/>
            </w:pPr>
            <w:r>
              <w:rPr>
                <w:rFonts w:ascii="仿宋_GB2312" w:hAnsi="仿宋_GB2312" w:cs="仿宋_GB2312" w:eastAsia="仿宋_GB2312"/>
                <w:sz w:val="21"/>
                <w:color w:val="000000"/>
              </w:rPr>
              <w:t>与主办方共同对赛事活动进行总结复盘积累经验，汇总所有资料、图片、视频等，整理成册并制作图册，以便归档查阅。</w:t>
            </w:r>
          </w:p>
          <w:p>
            <w:pPr>
              <w:pStyle w:val="null3"/>
              <w:jc w:val="left"/>
            </w:pPr>
            <w:r>
              <w:rPr>
                <w:rFonts w:ascii="仿宋_GB2312" w:hAnsi="仿宋_GB2312" w:cs="仿宋_GB2312" w:eastAsia="仿宋_GB2312"/>
                <w:sz w:val="21"/>
                <w:b/>
                <w:color w:val="000000"/>
              </w:rPr>
              <w:t>九、</w:t>
            </w:r>
            <w:r>
              <w:rPr>
                <w:rFonts w:ascii="仿宋_GB2312" w:hAnsi="仿宋_GB2312" w:cs="仿宋_GB2312" w:eastAsia="仿宋_GB2312"/>
                <w:sz w:val="21"/>
                <w:b/>
                <w:color w:val="000000"/>
              </w:rPr>
              <w:t>有关要求</w:t>
            </w:r>
          </w:p>
          <w:p>
            <w:pPr>
              <w:pStyle w:val="null3"/>
              <w:ind w:firstLine="420"/>
              <w:jc w:val="left"/>
            </w:pPr>
            <w:r>
              <w:rPr>
                <w:rFonts w:ascii="仿宋_GB2312" w:hAnsi="仿宋_GB2312" w:cs="仿宋_GB2312" w:eastAsia="仿宋_GB2312"/>
                <w:sz w:val="21"/>
              </w:rPr>
              <w:t>1.做好竞赛组织各项工作；做好比赛监督、裁判监督、裁判员的选派工作。</w:t>
            </w:r>
          </w:p>
          <w:p>
            <w:pPr>
              <w:pStyle w:val="null3"/>
              <w:ind w:firstLine="420"/>
              <w:jc w:val="left"/>
            </w:pPr>
            <w:r>
              <w:rPr>
                <w:rFonts w:ascii="仿宋_GB2312" w:hAnsi="仿宋_GB2312" w:cs="仿宋_GB2312" w:eastAsia="仿宋_GB2312"/>
                <w:sz w:val="21"/>
              </w:rPr>
              <w:t>2.对于在比赛中出现领队、教练员、队员有违规违纪行为，根据国家体育总局赛事相关要求和规定进行处罚。</w:t>
            </w:r>
          </w:p>
          <w:p>
            <w:pPr>
              <w:pStyle w:val="null3"/>
              <w:ind w:firstLine="420"/>
              <w:jc w:val="left"/>
            </w:pPr>
            <w:r>
              <w:rPr>
                <w:rFonts w:ascii="仿宋_GB2312" w:hAnsi="仿宋_GB2312" w:cs="仿宋_GB2312" w:eastAsia="仿宋_GB2312"/>
                <w:sz w:val="21"/>
              </w:rPr>
              <w:t>3.加强安全管控。各单位要压实赛事活动安全监管责任，制定针对性强、便于操作、科学合理的安全风险防控和应急救助预案，建立一体化安全责任体系，确保比赛安全有序。提高安全综合保障能力，确保配备医护人员（救护车）、购买参赛保险，提升交通安全、天气预警等综合保障水平。</w:t>
            </w:r>
          </w:p>
          <w:p>
            <w:pPr>
              <w:pStyle w:val="null3"/>
              <w:ind w:firstLine="420"/>
              <w:jc w:val="left"/>
            </w:pPr>
            <w:r>
              <w:rPr>
                <w:rFonts w:ascii="仿宋_GB2312" w:hAnsi="仿宋_GB2312" w:cs="仿宋_GB2312" w:eastAsia="仿宋_GB2312"/>
                <w:sz w:val="21"/>
              </w:rPr>
              <w:t>4.所有项目照片、视频、文字资料档案等电子版资料备份至移动硬盘（至少1T），赛后统一提供给采购方。</w:t>
            </w:r>
          </w:p>
          <w:p>
            <w:pPr>
              <w:pStyle w:val="null3"/>
            </w:pPr>
            <w:r>
              <w:rPr>
                <w:rFonts w:ascii="仿宋_GB2312" w:hAnsi="仿宋_GB2312" w:cs="仿宋_GB2312" w:eastAsia="仿宋_GB2312"/>
                <w:sz w:val="21"/>
              </w:rPr>
              <w:t xml:space="preserve">         5.本规程解释</w:t>
            </w:r>
            <w:r>
              <w:rPr>
                <w:rFonts w:ascii="仿宋_GB2312" w:hAnsi="仿宋_GB2312" w:cs="仿宋_GB2312" w:eastAsia="仿宋_GB2312"/>
                <w:sz w:val="21"/>
              </w:rPr>
              <w:t>权属大会组委会，未尽事宜另行通知。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标的名称：体育赛事组织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center"/>
            </w:pPr>
            <w:r>
              <w:rPr>
                <w:rFonts w:ascii="仿宋_GB2312" w:hAnsi="仿宋_GB2312" w:cs="仿宋_GB2312" w:eastAsia="仿宋_GB2312"/>
                <w:sz w:val="24"/>
                <w:b/>
              </w:rPr>
              <w:t>篮球、气排球、毽球、跳绳、围棋、象棋</w:t>
            </w:r>
            <w:r>
              <w:rPr>
                <w:rFonts w:ascii="仿宋_GB2312" w:hAnsi="仿宋_GB2312" w:cs="仿宋_GB2312" w:eastAsia="仿宋_GB2312"/>
                <w:sz w:val="24"/>
                <w:b/>
              </w:rPr>
              <w:t>6个项目赛事及配套活动</w:t>
            </w:r>
            <w:r>
              <w:rPr>
                <w:rFonts w:ascii="仿宋_GB2312" w:hAnsi="仿宋_GB2312" w:cs="仿宋_GB2312" w:eastAsia="仿宋_GB2312"/>
                <w:sz w:val="24"/>
                <w:b/>
              </w:rPr>
              <w:t>采购服务内容</w:t>
            </w:r>
          </w:p>
          <w:p>
            <w:pPr>
              <w:pStyle w:val="null3"/>
            </w:pPr>
            <w:r>
              <w:rPr>
                <w:rFonts w:ascii="仿宋_GB2312" w:hAnsi="仿宋_GB2312" w:cs="仿宋_GB2312" w:eastAsia="仿宋_GB2312"/>
                <w:sz w:val="21"/>
                <w:b/>
              </w:rPr>
              <w:t>一、</w:t>
            </w:r>
            <w:r>
              <w:rPr>
                <w:rFonts w:ascii="仿宋_GB2312" w:hAnsi="仿宋_GB2312" w:cs="仿宋_GB2312" w:eastAsia="仿宋_GB2312"/>
                <w:sz w:val="21"/>
                <w:b/>
              </w:rPr>
              <w:t>服务内容</w:t>
            </w:r>
          </w:p>
          <w:p>
            <w:pPr>
              <w:pStyle w:val="null3"/>
              <w:ind w:firstLine="420"/>
            </w:pPr>
            <w:r>
              <w:rPr>
                <w:rFonts w:ascii="仿宋_GB2312" w:hAnsi="仿宋_GB2312" w:cs="仿宋_GB2312" w:eastAsia="仿宋_GB2312"/>
                <w:sz w:val="21"/>
              </w:rPr>
              <w:t>1.供应商负责承担本次比赛的比赛场地、竞赛保障、赛事策划、商务开发、竞赛组织和器材保障、启动仪式及颁奖仪式、媒体宣传推广、场地搭建（含灯光音响）、氛围布置营造、志愿者招募管理、后勤接待保障、各类资料印制、赛事保险、医疗保障、安全保卫、电力、通信保障、奖励奖牌证书采购等。并向使用部门提交赛事总结等与赛事服务运营有关一切事务，方案策划及运营服务需符合体育赛事相应规范要求。</w:t>
            </w:r>
          </w:p>
          <w:p>
            <w:pPr>
              <w:pStyle w:val="null3"/>
              <w:ind w:firstLine="420"/>
            </w:pPr>
            <w:r>
              <w:rPr>
                <w:rFonts w:ascii="仿宋_GB2312" w:hAnsi="仿宋_GB2312" w:cs="仿宋_GB2312" w:eastAsia="仿宋_GB2312"/>
                <w:sz w:val="21"/>
              </w:rPr>
              <w:t>2.比赛总结：高质量、高水平、高效率的协助完成委托的其他工作事项，确保各项工作顺利推进，协助采购人完成赛事相关资料汇总，每项赛事提交赛事总结报告，并及时提交比赛总结报告及相关档案资料，内容齐全。</w:t>
            </w:r>
          </w:p>
          <w:p>
            <w:pPr>
              <w:pStyle w:val="null3"/>
              <w:ind w:firstLine="420"/>
            </w:pPr>
            <w:r>
              <w:rPr>
                <w:rFonts w:ascii="仿宋_GB2312" w:hAnsi="仿宋_GB2312" w:cs="仿宋_GB2312" w:eastAsia="仿宋_GB2312"/>
                <w:sz w:val="21"/>
              </w:rPr>
              <w:t>3.在活动的执行过程中，合作双方应遵循采购人确认原则，即所有的设计策划方案、详细报价的预算及结算等，均由供应商提出建议和说明，但最终以双方确认的内容或方式执行。</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参赛队伍</w:t>
            </w:r>
          </w:p>
          <w:p>
            <w:pPr>
              <w:pStyle w:val="null3"/>
              <w:ind w:firstLine="420"/>
            </w:pPr>
            <w:r>
              <w:rPr>
                <w:rFonts w:ascii="仿宋_GB2312" w:hAnsi="仿宋_GB2312" w:cs="仿宋_GB2312" w:eastAsia="仿宋_GB2312"/>
                <w:sz w:val="21"/>
              </w:rPr>
              <w:t>各区县选拔赛优秀队伍、个人。</w:t>
            </w:r>
          </w:p>
          <w:p>
            <w:pPr>
              <w:pStyle w:val="null3"/>
            </w:pPr>
            <w:r>
              <w:rPr>
                <w:rFonts w:ascii="仿宋_GB2312" w:hAnsi="仿宋_GB2312" w:cs="仿宋_GB2312" w:eastAsia="仿宋_GB2312"/>
                <w:sz w:val="21"/>
                <w:b/>
              </w:rPr>
              <w:t>三、</w:t>
            </w:r>
            <w:r>
              <w:rPr>
                <w:rFonts w:ascii="仿宋_GB2312" w:hAnsi="仿宋_GB2312" w:cs="仿宋_GB2312" w:eastAsia="仿宋_GB2312"/>
                <w:sz w:val="21"/>
                <w:b/>
              </w:rPr>
              <w:t>竞赛项目及介绍</w:t>
            </w:r>
          </w:p>
          <w:p>
            <w:pPr>
              <w:pStyle w:val="null3"/>
              <w:ind w:firstLine="420"/>
            </w:pPr>
            <w:r>
              <w:rPr>
                <w:rFonts w:ascii="仿宋_GB2312" w:hAnsi="仿宋_GB2312" w:cs="仿宋_GB2312" w:eastAsia="仿宋_GB2312"/>
                <w:sz w:val="21"/>
              </w:rPr>
              <w:t>竞赛项目：篮球、气排球、毽球、跳绳、围棋、象棋</w:t>
            </w:r>
            <w:r>
              <w:rPr>
                <w:rFonts w:ascii="仿宋_GB2312" w:hAnsi="仿宋_GB2312" w:cs="仿宋_GB2312" w:eastAsia="仿宋_GB2312"/>
                <w:sz w:val="21"/>
              </w:rPr>
              <w:t>6个项目</w:t>
            </w:r>
          </w:p>
          <w:p>
            <w:pPr>
              <w:pStyle w:val="null3"/>
            </w:pPr>
            <w:r>
              <w:rPr>
                <w:rFonts w:ascii="仿宋_GB2312" w:hAnsi="仿宋_GB2312" w:cs="仿宋_GB2312" w:eastAsia="仿宋_GB2312"/>
                <w:sz w:val="21"/>
                <w:b/>
              </w:rPr>
              <w:t>四、</w:t>
            </w:r>
            <w:r>
              <w:rPr>
                <w:rFonts w:ascii="仿宋_GB2312" w:hAnsi="仿宋_GB2312" w:cs="仿宋_GB2312" w:eastAsia="仿宋_GB2312"/>
                <w:sz w:val="21"/>
                <w:b/>
              </w:rPr>
              <w:t>保险服务</w:t>
            </w:r>
          </w:p>
          <w:p>
            <w:pPr>
              <w:pStyle w:val="null3"/>
              <w:ind w:firstLine="420"/>
            </w:pPr>
            <w:r>
              <w:rPr>
                <w:rFonts w:ascii="仿宋_GB2312" w:hAnsi="仿宋_GB2312" w:cs="仿宋_GB2312" w:eastAsia="仿宋_GB2312"/>
                <w:sz w:val="21"/>
              </w:rPr>
              <w:t>1.保险对象是指参与本赛事活动的所有人员，投保必须以单位名义，不能以个人名义投保。</w:t>
            </w:r>
          </w:p>
          <w:p>
            <w:pPr>
              <w:pStyle w:val="null3"/>
              <w:ind w:firstLine="420"/>
            </w:pPr>
            <w:r>
              <w:rPr>
                <w:rFonts w:ascii="仿宋_GB2312" w:hAnsi="仿宋_GB2312" w:cs="仿宋_GB2312" w:eastAsia="仿宋_GB2312"/>
                <w:sz w:val="21"/>
              </w:rPr>
              <w:t>2.对举办比赛体育场相关联的风险和责任进行投保，此类保险应向受伤人员或者受损物品和财产进行合适数量赔偿。</w:t>
            </w:r>
          </w:p>
          <w:p>
            <w:pPr>
              <w:pStyle w:val="null3"/>
              <w:ind w:firstLine="420"/>
            </w:pPr>
            <w:r>
              <w:rPr>
                <w:rFonts w:ascii="仿宋_GB2312" w:hAnsi="仿宋_GB2312" w:cs="仿宋_GB2312" w:eastAsia="仿宋_GB2312"/>
                <w:sz w:val="21"/>
              </w:rPr>
              <w:t>3.为所有参赛球员购买覆盖赛事周期的人身意外伤害险和死亡险。</w:t>
            </w:r>
          </w:p>
          <w:p>
            <w:pPr>
              <w:pStyle w:val="null3"/>
              <w:ind w:firstLine="420"/>
            </w:pPr>
            <w:r>
              <w:rPr>
                <w:rFonts w:ascii="仿宋_GB2312" w:hAnsi="仿宋_GB2312" w:cs="仿宋_GB2312" w:eastAsia="仿宋_GB2312"/>
                <w:sz w:val="21"/>
              </w:rPr>
              <w:t>4.承保训练及比赛期间的意外伤害及意外医疗保险。</w:t>
            </w:r>
          </w:p>
          <w:p>
            <w:pPr>
              <w:pStyle w:val="null3"/>
              <w:ind w:firstLine="420"/>
            </w:pPr>
            <w:r>
              <w:rPr>
                <w:rFonts w:ascii="仿宋_GB2312" w:hAnsi="仿宋_GB2312" w:cs="仿宋_GB2312" w:eastAsia="仿宋_GB2312"/>
                <w:sz w:val="21"/>
              </w:rPr>
              <w:t>5.每位被保险人限投一份，多投无效。</w:t>
            </w:r>
          </w:p>
          <w:p>
            <w:pPr>
              <w:pStyle w:val="null3"/>
              <w:ind w:firstLine="420"/>
            </w:pPr>
            <w:r>
              <w:rPr>
                <w:rFonts w:ascii="仿宋_GB2312" w:hAnsi="仿宋_GB2312" w:cs="仿宋_GB2312" w:eastAsia="仿宋_GB2312"/>
                <w:sz w:val="21"/>
              </w:rPr>
              <w:t>6.被保险人应采取合理的预防措施，尽力避免或减少责任事故的发生。</w:t>
            </w:r>
          </w:p>
          <w:p>
            <w:pPr>
              <w:pStyle w:val="null3"/>
              <w:ind w:firstLine="420"/>
            </w:pPr>
            <w:r>
              <w:rPr>
                <w:rFonts w:ascii="仿宋_GB2312" w:hAnsi="仿宋_GB2312" w:cs="仿宋_GB2312" w:eastAsia="仿宋_GB2312"/>
                <w:sz w:val="21"/>
              </w:rPr>
              <w:t>7.参赛队伍同时也要为球队官员和运动员购买保险，应自行负责其运动队在赛区所有比赛中包括运动员和官员在内的保险问题（包括意外门急诊，住院和外科手术或由比赛引发的其他相关问题，如失能，失业等），且参赛队伍必须使各级政府、体育部门免遭此类起诉。</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医务</w:t>
            </w:r>
          </w:p>
          <w:p>
            <w:pPr>
              <w:pStyle w:val="null3"/>
              <w:ind w:firstLine="420"/>
            </w:pPr>
            <w:r>
              <w:rPr>
                <w:rFonts w:ascii="仿宋_GB2312" w:hAnsi="仿宋_GB2312" w:cs="仿宋_GB2312" w:eastAsia="仿宋_GB2312"/>
                <w:sz w:val="21"/>
              </w:rPr>
              <w:t>1.比赛场地和训练场地均应提供医疗服务，并配备救护车和比赛常备药品。救护车应配AED及使用AED设备的专业医务人员，可供比赛及训练使用。比赛时，救护车应于赛前60分钟抵达赛场，至赛后30分钟离开；训练时，救护车应于训练前30分钟抵达训练场，至训练结束后30分钟离开。</w:t>
            </w:r>
          </w:p>
          <w:p>
            <w:pPr>
              <w:pStyle w:val="null3"/>
              <w:ind w:firstLine="420"/>
            </w:pPr>
            <w:r>
              <w:rPr>
                <w:rFonts w:ascii="仿宋_GB2312" w:hAnsi="仿宋_GB2312" w:cs="仿宋_GB2312" w:eastAsia="仿宋_GB2312"/>
                <w:sz w:val="21"/>
              </w:rPr>
              <w:t>2.赛区应设指定医院，并开通就医相关绿色通道。</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宣传</w:t>
            </w:r>
          </w:p>
          <w:p>
            <w:pPr>
              <w:pStyle w:val="null3"/>
              <w:ind w:firstLine="420"/>
            </w:pPr>
            <w:r>
              <w:rPr>
                <w:rFonts w:ascii="仿宋_GB2312" w:hAnsi="仿宋_GB2312" w:cs="仿宋_GB2312" w:eastAsia="仿宋_GB2312"/>
                <w:sz w:val="21"/>
              </w:rPr>
              <w:t>1.承办方应成立宣传工作小组，按照要求，确定一名新闻负责人，负责赛事的相关宣传工作。赛事举行期间可根据赛事的情况向当地媒体提供相应的赛事信息和报道素材。赛事期间和全部结束后撰写赛事相关新闻稿(配比赛及活动照片)。发布市级以上宣传稿件4篇以上，各类媒介共计10篇以上。</w:t>
            </w:r>
          </w:p>
          <w:p>
            <w:pPr>
              <w:pStyle w:val="null3"/>
              <w:ind w:firstLine="420"/>
              <w:jc w:val="both"/>
            </w:pPr>
            <w:r>
              <w:rPr>
                <w:rFonts w:ascii="仿宋_GB2312" w:hAnsi="仿宋_GB2312" w:cs="仿宋_GB2312" w:eastAsia="仿宋_GB2312"/>
                <w:sz w:val="21"/>
              </w:rPr>
              <w:t>2.承办方应组织1-2名专业摄影人员对比赛相关活动及每场赛事进行全程录像及图片拍摄，制作宣传视频不少于3条（30秒钟），拍摄的录像和数码图片应按活动名称和比赛对阵名称进行文件分类。</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秩序册</w:t>
            </w:r>
          </w:p>
          <w:p>
            <w:pPr>
              <w:pStyle w:val="null3"/>
              <w:ind w:firstLine="420"/>
            </w:pPr>
            <w:r>
              <w:rPr>
                <w:rFonts w:ascii="仿宋_GB2312" w:hAnsi="仿宋_GB2312" w:cs="仿宋_GB2312" w:eastAsia="仿宋_GB2312"/>
                <w:sz w:val="21"/>
              </w:rPr>
              <w:t>1.比赛秩序册由供应商制作,秩序册制作数量可根据参赛队数量确定。秩序册内页内容应包括：</w:t>
            </w:r>
          </w:p>
          <w:p>
            <w:pPr>
              <w:pStyle w:val="null3"/>
              <w:ind w:firstLine="420"/>
            </w:pPr>
            <w:r>
              <w:rPr>
                <w:rFonts w:ascii="仿宋_GB2312" w:hAnsi="仿宋_GB2312" w:cs="仿宋_GB2312" w:eastAsia="仿宋_GB2312"/>
                <w:sz w:val="21"/>
              </w:rPr>
              <w:t>①秩序册目录</w:t>
            </w:r>
          </w:p>
          <w:p>
            <w:pPr>
              <w:pStyle w:val="null3"/>
              <w:ind w:firstLine="420"/>
            </w:pPr>
            <w:r>
              <w:rPr>
                <w:rFonts w:ascii="仿宋_GB2312" w:hAnsi="仿宋_GB2312" w:cs="仿宋_GB2312" w:eastAsia="仿宋_GB2312"/>
                <w:sz w:val="21"/>
              </w:rPr>
              <w:t>②项目组委会人员及办事机构成员名单、竞赛官员名单</w:t>
            </w:r>
          </w:p>
          <w:p>
            <w:pPr>
              <w:pStyle w:val="null3"/>
              <w:ind w:firstLine="420"/>
            </w:pPr>
            <w:r>
              <w:rPr>
                <w:rFonts w:ascii="仿宋_GB2312" w:hAnsi="仿宋_GB2312" w:cs="仿宋_GB2312" w:eastAsia="仿宋_GB2312"/>
                <w:sz w:val="21"/>
              </w:rPr>
              <w:t>③项目纪律委员会和仲裁委员会成员名单</w:t>
            </w:r>
          </w:p>
          <w:p>
            <w:pPr>
              <w:pStyle w:val="null3"/>
              <w:ind w:firstLine="420"/>
            </w:pPr>
            <w:r>
              <w:rPr>
                <w:rFonts w:ascii="仿宋_GB2312" w:hAnsi="仿宋_GB2312" w:cs="仿宋_GB2312" w:eastAsia="仿宋_GB2312"/>
                <w:sz w:val="21"/>
              </w:rPr>
              <w:t>④竞赛规程总则</w:t>
            </w:r>
          </w:p>
          <w:p>
            <w:pPr>
              <w:pStyle w:val="null3"/>
              <w:ind w:firstLine="420"/>
            </w:pPr>
            <w:r>
              <w:rPr>
                <w:rFonts w:ascii="仿宋_GB2312" w:hAnsi="仿宋_GB2312" w:cs="仿宋_GB2312" w:eastAsia="仿宋_GB2312"/>
                <w:sz w:val="21"/>
              </w:rPr>
              <w:t>⑤竞赛规程</w:t>
            </w:r>
          </w:p>
          <w:p>
            <w:pPr>
              <w:pStyle w:val="null3"/>
              <w:ind w:firstLine="420"/>
            </w:pPr>
            <w:r>
              <w:rPr>
                <w:rFonts w:ascii="仿宋_GB2312" w:hAnsi="仿宋_GB2312" w:cs="仿宋_GB2312" w:eastAsia="仿宋_GB2312"/>
                <w:sz w:val="21"/>
              </w:rPr>
              <w:t>⑥赛事补充通知</w:t>
            </w:r>
          </w:p>
          <w:p>
            <w:pPr>
              <w:pStyle w:val="null3"/>
              <w:ind w:firstLine="420"/>
            </w:pPr>
            <w:r>
              <w:rPr>
                <w:rFonts w:ascii="仿宋_GB2312" w:hAnsi="仿宋_GB2312" w:cs="仿宋_GB2312" w:eastAsia="仿宋_GB2312"/>
                <w:sz w:val="21"/>
              </w:rPr>
              <w:t>⑦比赛期间各项活动日程</w:t>
            </w:r>
          </w:p>
          <w:p>
            <w:pPr>
              <w:pStyle w:val="null3"/>
              <w:ind w:firstLine="420"/>
            </w:pPr>
            <w:r>
              <w:rPr>
                <w:rFonts w:ascii="仿宋_GB2312" w:hAnsi="仿宋_GB2312" w:cs="仿宋_GB2312" w:eastAsia="仿宋_GB2312"/>
                <w:sz w:val="21"/>
              </w:rPr>
              <w:t>⑧竞赛日程</w:t>
            </w:r>
          </w:p>
          <w:p>
            <w:pPr>
              <w:pStyle w:val="null3"/>
              <w:ind w:firstLine="420"/>
            </w:pPr>
            <w:r>
              <w:rPr>
                <w:rFonts w:ascii="仿宋_GB2312" w:hAnsi="仿宋_GB2312" w:cs="仿宋_GB2312" w:eastAsia="仿宋_GB2312"/>
                <w:sz w:val="21"/>
              </w:rPr>
              <w:t>⑨参赛运动员名单</w:t>
            </w:r>
          </w:p>
          <w:p>
            <w:pPr>
              <w:pStyle w:val="null3"/>
              <w:ind w:firstLine="420"/>
            </w:pPr>
            <w:r>
              <w:rPr>
                <w:rFonts w:ascii="仿宋_GB2312" w:hAnsi="仿宋_GB2312" w:cs="仿宋_GB2312" w:eastAsia="仿宋_GB2312"/>
                <w:sz w:val="21"/>
              </w:rPr>
              <w:t>⑩其他补充说明</w:t>
            </w:r>
          </w:p>
          <w:p>
            <w:pPr>
              <w:pStyle w:val="null3"/>
            </w:pPr>
            <w:r>
              <w:rPr>
                <w:rFonts w:ascii="仿宋_GB2312" w:hAnsi="仿宋_GB2312" w:cs="仿宋_GB2312" w:eastAsia="仿宋_GB2312"/>
                <w:sz w:val="21"/>
                <w:b/>
                <w:color w:val="000000"/>
              </w:rPr>
              <w:t>八、</w:t>
            </w:r>
            <w:r>
              <w:rPr>
                <w:rFonts w:ascii="仿宋_GB2312" w:hAnsi="仿宋_GB2312" w:cs="仿宋_GB2312" w:eastAsia="仿宋_GB2312"/>
                <w:sz w:val="21"/>
                <w:b/>
                <w:color w:val="000000"/>
              </w:rPr>
              <w:t>总结及报告</w:t>
            </w:r>
          </w:p>
          <w:p>
            <w:pPr>
              <w:pStyle w:val="null3"/>
              <w:ind w:firstLine="420"/>
            </w:pPr>
            <w:r>
              <w:rPr>
                <w:rFonts w:ascii="仿宋_GB2312" w:hAnsi="仿宋_GB2312" w:cs="仿宋_GB2312" w:eastAsia="仿宋_GB2312"/>
                <w:sz w:val="21"/>
                <w:color w:val="000000"/>
              </w:rPr>
              <w:t>与主办方共同对赛事活动进行总结复盘积累经验，汇总所有资料、图片、视频等，整理成册并制作图册，以便归档查阅。</w:t>
            </w:r>
          </w:p>
          <w:p>
            <w:pPr>
              <w:pStyle w:val="null3"/>
            </w:pPr>
            <w:r>
              <w:rPr>
                <w:rFonts w:ascii="仿宋_GB2312" w:hAnsi="仿宋_GB2312" w:cs="仿宋_GB2312" w:eastAsia="仿宋_GB2312"/>
                <w:sz w:val="21"/>
                <w:b/>
                <w:color w:val="000000"/>
              </w:rPr>
              <w:t>九、</w:t>
            </w:r>
            <w:r>
              <w:rPr>
                <w:rFonts w:ascii="仿宋_GB2312" w:hAnsi="仿宋_GB2312" w:cs="仿宋_GB2312" w:eastAsia="仿宋_GB2312"/>
                <w:sz w:val="21"/>
                <w:b/>
                <w:color w:val="000000"/>
              </w:rPr>
              <w:t>有关要求</w:t>
            </w:r>
          </w:p>
          <w:p>
            <w:pPr>
              <w:pStyle w:val="null3"/>
              <w:ind w:firstLine="420"/>
            </w:pPr>
            <w:r>
              <w:rPr>
                <w:rFonts w:ascii="仿宋_GB2312" w:hAnsi="仿宋_GB2312" w:cs="仿宋_GB2312" w:eastAsia="仿宋_GB2312"/>
                <w:sz w:val="21"/>
              </w:rPr>
              <w:t>1.做好竞赛组织各项工作；做好比赛监督、裁判监督、裁判员的选派工作。</w:t>
            </w:r>
          </w:p>
          <w:p>
            <w:pPr>
              <w:pStyle w:val="null3"/>
              <w:ind w:firstLine="420"/>
            </w:pPr>
            <w:r>
              <w:rPr>
                <w:rFonts w:ascii="仿宋_GB2312" w:hAnsi="仿宋_GB2312" w:cs="仿宋_GB2312" w:eastAsia="仿宋_GB2312"/>
                <w:sz w:val="21"/>
              </w:rPr>
              <w:t>2.对于在比赛中出现领队、教练员、队员有违规违纪行为，根据国家体育总局赛事相关要求和规定进行处罚。</w:t>
            </w:r>
          </w:p>
          <w:p>
            <w:pPr>
              <w:pStyle w:val="null3"/>
              <w:ind w:firstLine="420"/>
            </w:pPr>
            <w:r>
              <w:rPr>
                <w:rFonts w:ascii="仿宋_GB2312" w:hAnsi="仿宋_GB2312" w:cs="仿宋_GB2312" w:eastAsia="仿宋_GB2312"/>
                <w:sz w:val="21"/>
              </w:rPr>
              <w:t>3.加强安全管控。各单位要压实赛事活动安全监管责任，制定针对性强、便于操作、科学合理的安全风险防控和应急救助预案，建立一体化安全责任体系，确保比赛安全有序。提高安全综合保障能力，确保配备医护人员（救护车）、购买参赛保险，</w:t>
            </w:r>
            <w:r>
              <w:rPr>
                <w:rFonts w:ascii="仿宋_GB2312" w:hAnsi="仿宋_GB2312" w:cs="仿宋_GB2312" w:eastAsia="仿宋_GB2312"/>
                <w:sz w:val="21"/>
              </w:rPr>
              <w:t>提升交通安全、天气预警等综合保障水平。</w:t>
            </w:r>
          </w:p>
          <w:p>
            <w:pPr>
              <w:pStyle w:val="null3"/>
            </w:pPr>
            <w:r>
              <w:rPr>
                <w:rFonts w:ascii="仿宋_GB2312" w:hAnsi="仿宋_GB2312" w:cs="仿宋_GB2312" w:eastAsia="仿宋_GB2312"/>
                <w:sz w:val="21"/>
              </w:rPr>
              <w:t xml:space="preserve">        4.所有项目照片、视频、文字资料档案等电子版资料备份至移动硬盘（至少1T），赛后统一提供给采购方。</w:t>
            </w:r>
          </w:p>
          <w:p>
            <w:pPr>
              <w:pStyle w:val="null3"/>
            </w:pPr>
            <w:r>
              <w:rPr>
                <w:rFonts w:ascii="仿宋_GB2312" w:hAnsi="仿宋_GB2312" w:cs="仿宋_GB2312" w:eastAsia="仿宋_GB2312"/>
                <w:sz w:val="21"/>
              </w:rPr>
              <w:t xml:space="preserve">        5.本规程解释权属大会组委会，未尽事宜另行通知。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自赛事报名前开始至赛事服务结束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自赛事报名前开始至赛事服务结束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按国家及地方现行项目实施规范和合同规定的验收评定标准等要求进行验收。验收依据包括但不限于本项目采购文件、响应文件；服务合同文本及附件；合同签订时国家及行业现行的标准和技术规范。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按国家及地方现行项目实施规范和合同规定的验收评定标准等要求进行验收。验收依据包括但不限于本项目采购文件、响应文件；服务合同文本及附件；合同签订时国家及行业现行的标准和技术规范。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进度款，各项目赛事服务结束后，达到付款条件起10个工作日内，支付合同总金额的40.0%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进度款，各项目赛事服务结束后，达到付款条件起10个工作日内，支付合同总金额的40.0%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以合同文本为准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⑴定标（成交）原则：一个供应商只能成交一个采购包。若供应商按评审办法被确定为第一成交候选供应商的采购包数超过1个，则依采购包顺序及“先开先中”的原则，在确定该供应商为该采购包成交供应商后，其所参投的其余采购包将自动失去成交资格。即同一供应商同时为两个采购包的第一成交候选供应商的，采购人在确认成交供应商时，采购包1设置成交人供应商为第一成交候选供应商，采购包2设置第二成交候选供应商为该采购包的成交供应商。 ⑵投标供应商在成交结果公告后3个工作日内将3份与上传响应文件一致的纸质版响应文件递交代理机构。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同时满足以下条款：（1）货币单位符合磋商文件要求；（2）报价符合唯一性要求；（3）未超出采购预算或最高限价；（4）符合《报价函》、《分项报价表》及《标的清单》的填报要求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完全理解并接受对合格供应商、合格的货物、工程或服务要求，结合磋商文件第3章的实质性要求且没有负偏离。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拟投入项目的专业设备及工器具情况表.docx 中小企业声明函 商务应答表 服务内容及服务要求应答表 报价表 资格证明文件.docx 供应商承诺书.docx 响应文件封面 分项报价表.docx 合同文本条款响应.docx 残疾人福利性单位声明函 服务方案 标的清单 项目实施人员情况表.docx 响应函 监狱企业的证明文件 类似项目业绩汇总表.docx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合同文本条款响应.docx 标的清单 报价表 响应函 供应商承诺书.docx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同时满足以下条款：（1）货币单位符合磋商文件要求；（2）报价符合唯一性要求；（3）未超出采购预算或最高限价；（4）符合《报价函》、《分项报价表》及《标的清单》的填报要求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完全理解并接受对合格供应商、合格的货物、工程或服务要求，结合磋商文件第3章的实质性要求且没有负偏离。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拟投入项目的专业设备及工器具情况表.docx 中小企业声明函 商务应答表 服务内容及服务要求应答表 报价表 资格证明文件.docx 供应商承诺书.docx 响应文件封面 分项报价表.docx 合同文本条款响应.docx 残疾人福利性单位声明函 服务方案 标的清单 项目实施人员情况表.docx 响应函 监狱企业的证明文件 类似项目业绩汇总表.docx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策划方案之基本思路</w:t>
            </w:r>
          </w:p>
        </w:tc>
        <w:tc>
          <w:tcPr>
            <w:tcW w:type="dxa" w:w="2492"/>
          </w:tcPr>
          <w:p>
            <w:pPr>
              <w:pStyle w:val="null3"/>
            </w:pPr>
            <w:r>
              <w:rPr>
                <w:rFonts w:ascii="仿宋_GB2312" w:hAnsi="仿宋_GB2312" w:cs="仿宋_GB2312" w:eastAsia="仿宋_GB2312"/>
              </w:rPr>
              <w:t>根据供应商提供的策划方案，其中的基本思路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策划方案之工作计划</w:t>
            </w:r>
          </w:p>
        </w:tc>
        <w:tc>
          <w:tcPr>
            <w:tcW w:type="dxa" w:w="2492"/>
          </w:tcPr>
          <w:p>
            <w:pPr>
              <w:pStyle w:val="null3"/>
            </w:pPr>
            <w:r>
              <w:rPr>
                <w:rFonts w:ascii="仿宋_GB2312" w:hAnsi="仿宋_GB2312" w:cs="仿宋_GB2312" w:eastAsia="仿宋_GB2312"/>
              </w:rPr>
              <w:t>根据供应商提供的策划方案，其中的工作计划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策划方案之赛事备案</w:t>
            </w:r>
          </w:p>
        </w:tc>
        <w:tc>
          <w:tcPr>
            <w:tcW w:type="dxa" w:w="2492"/>
          </w:tcPr>
          <w:p>
            <w:pPr>
              <w:pStyle w:val="null3"/>
            </w:pPr>
            <w:r>
              <w:rPr>
                <w:rFonts w:ascii="仿宋_GB2312" w:hAnsi="仿宋_GB2312" w:cs="仿宋_GB2312" w:eastAsia="仿宋_GB2312"/>
              </w:rPr>
              <w:t>根据供应商提供的策划方案，其中的赛事备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策划方案之赛事策划</w:t>
            </w:r>
          </w:p>
        </w:tc>
        <w:tc>
          <w:tcPr>
            <w:tcW w:type="dxa" w:w="2492"/>
          </w:tcPr>
          <w:p>
            <w:pPr>
              <w:pStyle w:val="null3"/>
            </w:pPr>
            <w:r>
              <w:rPr>
                <w:rFonts w:ascii="仿宋_GB2312" w:hAnsi="仿宋_GB2312" w:cs="仿宋_GB2312" w:eastAsia="仿宋_GB2312"/>
              </w:rPr>
              <w:t>根据供应商提供的策划方案，其中的赛事策划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策划方案之参赛邀请</w:t>
            </w:r>
          </w:p>
        </w:tc>
        <w:tc>
          <w:tcPr>
            <w:tcW w:type="dxa" w:w="2492"/>
          </w:tcPr>
          <w:p>
            <w:pPr>
              <w:pStyle w:val="null3"/>
            </w:pPr>
            <w:r>
              <w:rPr>
                <w:rFonts w:ascii="仿宋_GB2312" w:hAnsi="仿宋_GB2312" w:cs="仿宋_GB2312" w:eastAsia="仿宋_GB2312"/>
              </w:rPr>
              <w:t>根据供应商提供的策划方案，其中的参赛邀请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策划方案之志愿者招募</w:t>
            </w:r>
          </w:p>
        </w:tc>
        <w:tc>
          <w:tcPr>
            <w:tcW w:type="dxa" w:w="2492"/>
          </w:tcPr>
          <w:p>
            <w:pPr>
              <w:pStyle w:val="null3"/>
            </w:pPr>
            <w:r>
              <w:rPr>
                <w:rFonts w:ascii="仿宋_GB2312" w:hAnsi="仿宋_GB2312" w:cs="仿宋_GB2312" w:eastAsia="仿宋_GB2312"/>
              </w:rPr>
              <w:t>根据供应商提供的策划方案，其中的志愿者招募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策划方案之志愿者培训</w:t>
            </w:r>
          </w:p>
        </w:tc>
        <w:tc>
          <w:tcPr>
            <w:tcW w:type="dxa" w:w="2492"/>
          </w:tcPr>
          <w:p>
            <w:pPr>
              <w:pStyle w:val="null3"/>
            </w:pPr>
            <w:r>
              <w:rPr>
                <w:rFonts w:ascii="仿宋_GB2312" w:hAnsi="仿宋_GB2312" w:cs="仿宋_GB2312" w:eastAsia="仿宋_GB2312"/>
              </w:rPr>
              <w:t>根据供应商提供的策划方案，其中的志愿者培训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赛事服务及后勤保障方案之人员安排</w:t>
            </w:r>
          </w:p>
        </w:tc>
        <w:tc>
          <w:tcPr>
            <w:tcW w:type="dxa" w:w="2492"/>
          </w:tcPr>
          <w:p>
            <w:pPr>
              <w:pStyle w:val="null3"/>
            </w:pPr>
            <w:r>
              <w:rPr>
                <w:rFonts w:ascii="仿宋_GB2312" w:hAnsi="仿宋_GB2312" w:cs="仿宋_GB2312" w:eastAsia="仿宋_GB2312"/>
              </w:rPr>
              <w:t>根据供应商提供的赛事服务及后勤保障方案，其中的人员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赛事服务及后勤保障方案之物资准备</w:t>
            </w:r>
          </w:p>
        </w:tc>
        <w:tc>
          <w:tcPr>
            <w:tcW w:type="dxa" w:w="2492"/>
          </w:tcPr>
          <w:p>
            <w:pPr>
              <w:pStyle w:val="null3"/>
            </w:pPr>
            <w:r>
              <w:rPr>
                <w:rFonts w:ascii="仿宋_GB2312" w:hAnsi="仿宋_GB2312" w:cs="仿宋_GB2312" w:eastAsia="仿宋_GB2312"/>
              </w:rPr>
              <w:t>根据供应商提供的赛事服务及后勤保障方案，其中的物资准备方案内容完整，针对性强且有利于项目实施得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赛事服务及后勤保障方案之场地及秩序维护</w:t>
            </w:r>
          </w:p>
        </w:tc>
        <w:tc>
          <w:tcPr>
            <w:tcW w:type="dxa" w:w="2492"/>
          </w:tcPr>
          <w:p>
            <w:pPr>
              <w:pStyle w:val="null3"/>
            </w:pPr>
            <w:r>
              <w:rPr>
                <w:rFonts w:ascii="仿宋_GB2312" w:hAnsi="仿宋_GB2312" w:cs="仿宋_GB2312" w:eastAsia="仿宋_GB2312"/>
              </w:rPr>
              <w:t>根据供应商提供的赛事服务及后勤保障方案，其中的场地及秩序维护方案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赛事服务及后勤保障方案之交通指引及住宿用餐</w:t>
            </w:r>
          </w:p>
        </w:tc>
        <w:tc>
          <w:tcPr>
            <w:tcW w:type="dxa" w:w="2492"/>
          </w:tcPr>
          <w:p>
            <w:pPr>
              <w:pStyle w:val="null3"/>
            </w:pPr>
            <w:r>
              <w:rPr>
                <w:rFonts w:ascii="仿宋_GB2312" w:hAnsi="仿宋_GB2312" w:cs="仿宋_GB2312" w:eastAsia="仿宋_GB2312"/>
              </w:rPr>
              <w:t>根据供应商提供的赛事服务及后勤保障方案，其中的交通指引及住宿用餐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宣传推广方案之目标受众及营销策略</w:t>
            </w:r>
          </w:p>
        </w:tc>
        <w:tc>
          <w:tcPr>
            <w:tcW w:type="dxa" w:w="2492"/>
          </w:tcPr>
          <w:p>
            <w:pPr>
              <w:pStyle w:val="null3"/>
            </w:pPr>
            <w:r>
              <w:rPr>
                <w:rFonts w:ascii="仿宋_GB2312" w:hAnsi="仿宋_GB2312" w:cs="仿宋_GB2312" w:eastAsia="仿宋_GB2312"/>
              </w:rPr>
              <w:t>根据供应商提供的宣传推广方案，其中的目标受众及营销策略方案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宣传推广方案之合作推广及宣传渠道安排</w:t>
            </w:r>
          </w:p>
        </w:tc>
        <w:tc>
          <w:tcPr>
            <w:tcW w:type="dxa" w:w="2492"/>
          </w:tcPr>
          <w:p>
            <w:pPr>
              <w:pStyle w:val="null3"/>
            </w:pPr>
            <w:r>
              <w:rPr>
                <w:rFonts w:ascii="仿宋_GB2312" w:hAnsi="仿宋_GB2312" w:cs="仿宋_GB2312" w:eastAsia="仿宋_GB2312"/>
              </w:rPr>
              <w:t>根据供应商提供的宣传推广方案，其中的合作推广及宣传渠道安排方案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宣传推广方案之资金预算安排</w:t>
            </w:r>
          </w:p>
        </w:tc>
        <w:tc>
          <w:tcPr>
            <w:tcW w:type="dxa" w:w="2492"/>
          </w:tcPr>
          <w:p>
            <w:pPr>
              <w:pStyle w:val="null3"/>
            </w:pPr>
            <w:r>
              <w:rPr>
                <w:rFonts w:ascii="仿宋_GB2312" w:hAnsi="仿宋_GB2312" w:cs="仿宋_GB2312" w:eastAsia="仿宋_GB2312"/>
              </w:rPr>
              <w:t>根据供应商提供的宣传推广方案，其中的资金预算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应急预案之应急培训及演练安排</w:t>
            </w:r>
          </w:p>
        </w:tc>
        <w:tc>
          <w:tcPr>
            <w:tcW w:type="dxa" w:w="2492"/>
          </w:tcPr>
          <w:p>
            <w:pPr>
              <w:pStyle w:val="null3"/>
            </w:pPr>
            <w:r>
              <w:rPr>
                <w:rFonts w:ascii="仿宋_GB2312" w:hAnsi="仿宋_GB2312" w:cs="仿宋_GB2312" w:eastAsia="仿宋_GB2312"/>
              </w:rPr>
              <w:t>根据供应商提供的应急预案，其中的应急培训及演练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应急预案之应急通信安排</w:t>
            </w:r>
          </w:p>
        </w:tc>
        <w:tc>
          <w:tcPr>
            <w:tcW w:type="dxa" w:w="2492"/>
          </w:tcPr>
          <w:p>
            <w:pPr>
              <w:pStyle w:val="null3"/>
            </w:pPr>
            <w:r>
              <w:rPr>
                <w:rFonts w:ascii="仿宋_GB2312" w:hAnsi="仿宋_GB2312" w:cs="仿宋_GB2312" w:eastAsia="仿宋_GB2312"/>
              </w:rPr>
              <w:t>根据供应商提供的应急预案，其中的应急通信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应急预案之事后处理</w:t>
            </w:r>
          </w:p>
        </w:tc>
        <w:tc>
          <w:tcPr>
            <w:tcW w:type="dxa" w:w="2492"/>
          </w:tcPr>
          <w:p>
            <w:pPr>
              <w:pStyle w:val="null3"/>
            </w:pPr>
            <w:r>
              <w:rPr>
                <w:rFonts w:ascii="仿宋_GB2312" w:hAnsi="仿宋_GB2312" w:cs="仿宋_GB2312" w:eastAsia="仿宋_GB2312"/>
              </w:rPr>
              <w:t>根据供应商提供的应急预案，其中的事后处理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根据供应商提供的安全保障方案评审，内容完整，针对性强且有利于项目实施3.5分。存在内容缺陷的，每有一处扣0.5分，最多扣3.5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医疗及保险方案之医疗救援服务</w:t>
            </w:r>
          </w:p>
        </w:tc>
        <w:tc>
          <w:tcPr>
            <w:tcW w:type="dxa" w:w="2492"/>
          </w:tcPr>
          <w:p>
            <w:pPr>
              <w:pStyle w:val="null3"/>
            </w:pPr>
            <w:r>
              <w:rPr>
                <w:rFonts w:ascii="仿宋_GB2312" w:hAnsi="仿宋_GB2312" w:cs="仿宋_GB2312" w:eastAsia="仿宋_GB2312"/>
              </w:rPr>
              <w:t>根据供应商提供的医疗及保险方案，其中的医疗救援服务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医疗及保险方案之紧急医疗培训</w:t>
            </w:r>
          </w:p>
        </w:tc>
        <w:tc>
          <w:tcPr>
            <w:tcW w:type="dxa" w:w="2492"/>
          </w:tcPr>
          <w:p>
            <w:pPr>
              <w:pStyle w:val="null3"/>
            </w:pPr>
            <w:r>
              <w:rPr>
                <w:rFonts w:ascii="仿宋_GB2312" w:hAnsi="仿宋_GB2312" w:cs="仿宋_GB2312" w:eastAsia="仿宋_GB2312"/>
              </w:rPr>
              <w:t>根据供应商提供的医疗及保险方案，其中的紧急医疗培训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医疗及保险方案之赛事运营合作医院安排</w:t>
            </w:r>
          </w:p>
        </w:tc>
        <w:tc>
          <w:tcPr>
            <w:tcW w:type="dxa" w:w="2492"/>
          </w:tcPr>
          <w:p>
            <w:pPr>
              <w:pStyle w:val="null3"/>
            </w:pPr>
            <w:r>
              <w:rPr>
                <w:rFonts w:ascii="仿宋_GB2312" w:hAnsi="仿宋_GB2312" w:cs="仿宋_GB2312" w:eastAsia="仿宋_GB2312"/>
              </w:rPr>
              <w:t>根据供应商提供的医疗及保险方案，其中的赛事运营合作医院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医疗及保险方案之保险服务安排</w:t>
            </w:r>
          </w:p>
        </w:tc>
        <w:tc>
          <w:tcPr>
            <w:tcW w:type="dxa" w:w="2492"/>
          </w:tcPr>
          <w:p>
            <w:pPr>
              <w:pStyle w:val="null3"/>
            </w:pPr>
            <w:r>
              <w:rPr>
                <w:rFonts w:ascii="仿宋_GB2312" w:hAnsi="仿宋_GB2312" w:cs="仿宋_GB2312" w:eastAsia="仿宋_GB2312"/>
              </w:rPr>
              <w:t>根据供应商提供的医疗及保险方案，其中的保险服务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场地布置设计之场地布置搭建</w:t>
            </w:r>
          </w:p>
        </w:tc>
        <w:tc>
          <w:tcPr>
            <w:tcW w:type="dxa" w:w="2492"/>
          </w:tcPr>
          <w:p>
            <w:pPr>
              <w:pStyle w:val="null3"/>
            </w:pPr>
            <w:r>
              <w:rPr>
                <w:rFonts w:ascii="仿宋_GB2312" w:hAnsi="仿宋_GB2312" w:cs="仿宋_GB2312" w:eastAsia="仿宋_GB2312"/>
              </w:rPr>
              <w:t>根据供应商提供的场地布置设计，其中的场地布置搭建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场地布置设计之场地氛围营造</w:t>
            </w:r>
          </w:p>
        </w:tc>
        <w:tc>
          <w:tcPr>
            <w:tcW w:type="dxa" w:w="2492"/>
          </w:tcPr>
          <w:p>
            <w:pPr>
              <w:pStyle w:val="null3"/>
            </w:pPr>
            <w:r>
              <w:rPr>
                <w:rFonts w:ascii="仿宋_GB2312" w:hAnsi="仿宋_GB2312" w:cs="仿宋_GB2312" w:eastAsia="仿宋_GB2312"/>
              </w:rPr>
              <w:t>根据供应商提供的场地布置设计，其中的场地氛围营造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场地布置设计之视觉设计</w:t>
            </w:r>
          </w:p>
        </w:tc>
        <w:tc>
          <w:tcPr>
            <w:tcW w:type="dxa" w:w="2492"/>
          </w:tcPr>
          <w:p>
            <w:pPr>
              <w:pStyle w:val="null3"/>
            </w:pPr>
            <w:r>
              <w:rPr>
                <w:rFonts w:ascii="仿宋_GB2312" w:hAnsi="仿宋_GB2312" w:cs="仿宋_GB2312" w:eastAsia="仿宋_GB2312"/>
              </w:rPr>
              <w:t>根据供应商提供的场地布置设计，其中的视觉设计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供应商拟投入本项目的服务团队（含项目负责人、场地设计、场地搭建、志愿者招聘、赛事组织、摄影、媒体宣传等岗位）达到10人得5分，10人以上每增加2人加2分，最高加14分，满分19分。以供应商加盖公章的“项目实施人员情况表”为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专业器具及设备配置</w:t>
            </w:r>
          </w:p>
        </w:tc>
        <w:tc>
          <w:tcPr>
            <w:tcW w:type="dxa" w:w="2492"/>
          </w:tcPr>
          <w:p>
            <w:pPr>
              <w:pStyle w:val="null3"/>
            </w:pPr>
            <w:r>
              <w:rPr>
                <w:rFonts w:ascii="仿宋_GB2312" w:hAnsi="仿宋_GB2312" w:cs="仿宋_GB2312" w:eastAsia="仿宋_GB2312"/>
              </w:rPr>
              <w:t>供应商具备有利于本项目实施的专业器具及设备（含摄影机、无人机等）的，每提供一类得1.3分，最高得9.1分。以加盖供应商公章的设备采购发票或租赁协议扫描件为准。</w:t>
            </w:r>
          </w:p>
        </w:tc>
        <w:tc>
          <w:tcPr>
            <w:tcW w:type="dxa" w:w="831"/>
          </w:tcPr>
          <w:p>
            <w:pPr>
              <w:pStyle w:val="null3"/>
              <w:jc w:val="right"/>
            </w:pPr>
            <w:r>
              <w:rPr>
                <w:rFonts w:ascii="仿宋_GB2312" w:hAnsi="仿宋_GB2312" w:cs="仿宋_GB2312" w:eastAsia="仿宋_GB2312"/>
              </w:rPr>
              <w:t>9.1000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拟投入项目的专业设备及工器具情况表.docx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2023年1月1日以来（以合同签订时间为准），承担过类似项目的，每提供一个合同得3分，满分12分。需提供合同关键页（含合同首部、采购内容页、合同金额页、双方盖章页）扫描件。同一项目多年度续签不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有效供应商的最终报价的最低值为基准价得满分，其他各供应商的最终报价得分按下列公式计算：（基准价/最终报价）×20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策划方案之基本思路</w:t>
            </w:r>
          </w:p>
        </w:tc>
        <w:tc>
          <w:tcPr>
            <w:tcW w:type="dxa" w:w="2492"/>
          </w:tcPr>
          <w:p>
            <w:pPr>
              <w:pStyle w:val="null3"/>
            </w:pPr>
            <w:r>
              <w:rPr>
                <w:rFonts w:ascii="仿宋_GB2312" w:hAnsi="仿宋_GB2312" w:cs="仿宋_GB2312" w:eastAsia="仿宋_GB2312"/>
              </w:rPr>
              <w:t>根据供应商提供的策划方案，其中的基本思路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策划方案之工作计划</w:t>
            </w:r>
          </w:p>
        </w:tc>
        <w:tc>
          <w:tcPr>
            <w:tcW w:type="dxa" w:w="2492"/>
          </w:tcPr>
          <w:p>
            <w:pPr>
              <w:pStyle w:val="null3"/>
            </w:pPr>
            <w:r>
              <w:rPr>
                <w:rFonts w:ascii="仿宋_GB2312" w:hAnsi="仿宋_GB2312" w:cs="仿宋_GB2312" w:eastAsia="仿宋_GB2312"/>
              </w:rPr>
              <w:t>根据供应商提供的策划方案，其中的工作计划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策划方案之赛事备案</w:t>
            </w:r>
          </w:p>
        </w:tc>
        <w:tc>
          <w:tcPr>
            <w:tcW w:type="dxa" w:w="2492"/>
          </w:tcPr>
          <w:p>
            <w:pPr>
              <w:pStyle w:val="null3"/>
            </w:pPr>
            <w:r>
              <w:rPr>
                <w:rFonts w:ascii="仿宋_GB2312" w:hAnsi="仿宋_GB2312" w:cs="仿宋_GB2312" w:eastAsia="仿宋_GB2312"/>
              </w:rPr>
              <w:t>根据供应商提供的策划方案，其中的赛事备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策划方案之赛事策划</w:t>
            </w:r>
          </w:p>
        </w:tc>
        <w:tc>
          <w:tcPr>
            <w:tcW w:type="dxa" w:w="2492"/>
          </w:tcPr>
          <w:p>
            <w:pPr>
              <w:pStyle w:val="null3"/>
            </w:pPr>
            <w:r>
              <w:rPr>
                <w:rFonts w:ascii="仿宋_GB2312" w:hAnsi="仿宋_GB2312" w:cs="仿宋_GB2312" w:eastAsia="仿宋_GB2312"/>
              </w:rPr>
              <w:t>根据供应商提供的策划方案，其中的赛事策划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策划方案之参赛邀请</w:t>
            </w:r>
          </w:p>
        </w:tc>
        <w:tc>
          <w:tcPr>
            <w:tcW w:type="dxa" w:w="2492"/>
          </w:tcPr>
          <w:p>
            <w:pPr>
              <w:pStyle w:val="null3"/>
            </w:pPr>
            <w:r>
              <w:rPr>
                <w:rFonts w:ascii="仿宋_GB2312" w:hAnsi="仿宋_GB2312" w:cs="仿宋_GB2312" w:eastAsia="仿宋_GB2312"/>
              </w:rPr>
              <w:t>根据供应商提供的策划方案，其中的参赛邀请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策划方案之志愿者招募</w:t>
            </w:r>
          </w:p>
        </w:tc>
        <w:tc>
          <w:tcPr>
            <w:tcW w:type="dxa" w:w="2492"/>
          </w:tcPr>
          <w:p>
            <w:pPr>
              <w:pStyle w:val="null3"/>
            </w:pPr>
            <w:r>
              <w:rPr>
                <w:rFonts w:ascii="仿宋_GB2312" w:hAnsi="仿宋_GB2312" w:cs="仿宋_GB2312" w:eastAsia="仿宋_GB2312"/>
              </w:rPr>
              <w:t>根据供应商提供的策划方案，其中的志愿者招募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策划方案之志愿者培训</w:t>
            </w:r>
          </w:p>
        </w:tc>
        <w:tc>
          <w:tcPr>
            <w:tcW w:type="dxa" w:w="2492"/>
          </w:tcPr>
          <w:p>
            <w:pPr>
              <w:pStyle w:val="null3"/>
            </w:pPr>
            <w:r>
              <w:rPr>
                <w:rFonts w:ascii="仿宋_GB2312" w:hAnsi="仿宋_GB2312" w:cs="仿宋_GB2312" w:eastAsia="仿宋_GB2312"/>
              </w:rPr>
              <w:t>根据供应商提供的策划方案，其中的志愿者培训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赛事服务及后勤保障方案之人员安排</w:t>
            </w:r>
          </w:p>
        </w:tc>
        <w:tc>
          <w:tcPr>
            <w:tcW w:type="dxa" w:w="2492"/>
          </w:tcPr>
          <w:p>
            <w:pPr>
              <w:pStyle w:val="null3"/>
            </w:pPr>
            <w:r>
              <w:rPr>
                <w:rFonts w:ascii="仿宋_GB2312" w:hAnsi="仿宋_GB2312" w:cs="仿宋_GB2312" w:eastAsia="仿宋_GB2312"/>
              </w:rPr>
              <w:t>根据供应商提供的赛事服务及后勤保障方案，其中的人员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赛事服务及后勤保障方案之物资准备</w:t>
            </w:r>
          </w:p>
        </w:tc>
        <w:tc>
          <w:tcPr>
            <w:tcW w:type="dxa" w:w="2492"/>
          </w:tcPr>
          <w:p>
            <w:pPr>
              <w:pStyle w:val="null3"/>
            </w:pPr>
            <w:r>
              <w:rPr>
                <w:rFonts w:ascii="仿宋_GB2312" w:hAnsi="仿宋_GB2312" w:cs="仿宋_GB2312" w:eastAsia="仿宋_GB2312"/>
              </w:rPr>
              <w:t>根据供应商提供的赛事服务及后勤保障方案，其中的物资准备方案内容完整，针对性强且有利于项目实施得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赛事服务及后勤保障方案之场地及秩序维护</w:t>
            </w:r>
          </w:p>
        </w:tc>
        <w:tc>
          <w:tcPr>
            <w:tcW w:type="dxa" w:w="2492"/>
          </w:tcPr>
          <w:p>
            <w:pPr>
              <w:pStyle w:val="null3"/>
            </w:pPr>
            <w:r>
              <w:rPr>
                <w:rFonts w:ascii="仿宋_GB2312" w:hAnsi="仿宋_GB2312" w:cs="仿宋_GB2312" w:eastAsia="仿宋_GB2312"/>
              </w:rPr>
              <w:t>根据供应商提供的赛事服务及后勤保障方案，其中的场地及秩序维护方案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赛事服务及后勤保障方案之交通指引及住宿用餐</w:t>
            </w:r>
          </w:p>
        </w:tc>
        <w:tc>
          <w:tcPr>
            <w:tcW w:type="dxa" w:w="2492"/>
          </w:tcPr>
          <w:p>
            <w:pPr>
              <w:pStyle w:val="null3"/>
            </w:pPr>
            <w:r>
              <w:rPr>
                <w:rFonts w:ascii="仿宋_GB2312" w:hAnsi="仿宋_GB2312" w:cs="仿宋_GB2312" w:eastAsia="仿宋_GB2312"/>
              </w:rPr>
              <w:t>根据供应商提供的赛事服务及后勤保障方案，其中的交通指引及住宿用餐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宣传推广方案之目标受众及营销策略</w:t>
            </w:r>
          </w:p>
        </w:tc>
        <w:tc>
          <w:tcPr>
            <w:tcW w:type="dxa" w:w="2492"/>
          </w:tcPr>
          <w:p>
            <w:pPr>
              <w:pStyle w:val="null3"/>
            </w:pPr>
            <w:r>
              <w:rPr>
                <w:rFonts w:ascii="仿宋_GB2312" w:hAnsi="仿宋_GB2312" w:cs="仿宋_GB2312" w:eastAsia="仿宋_GB2312"/>
              </w:rPr>
              <w:t>根据供应商提供的宣传推广方案，其中的目标受众及营销策略方案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宣传推广方案之合作推广及宣传渠道安排</w:t>
            </w:r>
          </w:p>
        </w:tc>
        <w:tc>
          <w:tcPr>
            <w:tcW w:type="dxa" w:w="2492"/>
          </w:tcPr>
          <w:p>
            <w:pPr>
              <w:pStyle w:val="null3"/>
            </w:pPr>
            <w:r>
              <w:rPr>
                <w:rFonts w:ascii="仿宋_GB2312" w:hAnsi="仿宋_GB2312" w:cs="仿宋_GB2312" w:eastAsia="仿宋_GB2312"/>
              </w:rPr>
              <w:t>根据供应商提供的宣传推广方案，其中的合作推广及宣传渠道安排方案内容完整，针对性强且有利于项目实施得2.1分。存在内容缺陷的，每有一处扣0.3分，最多扣2.1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宣传推广方案之资金预算安排</w:t>
            </w:r>
          </w:p>
        </w:tc>
        <w:tc>
          <w:tcPr>
            <w:tcW w:type="dxa" w:w="2492"/>
          </w:tcPr>
          <w:p>
            <w:pPr>
              <w:pStyle w:val="null3"/>
            </w:pPr>
            <w:r>
              <w:rPr>
                <w:rFonts w:ascii="仿宋_GB2312" w:hAnsi="仿宋_GB2312" w:cs="仿宋_GB2312" w:eastAsia="仿宋_GB2312"/>
              </w:rPr>
              <w:t>根据供应商提供的宣传推广方案，其中的资金预算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应急预案之应急培训及演练安排</w:t>
            </w:r>
          </w:p>
        </w:tc>
        <w:tc>
          <w:tcPr>
            <w:tcW w:type="dxa" w:w="2492"/>
          </w:tcPr>
          <w:p>
            <w:pPr>
              <w:pStyle w:val="null3"/>
            </w:pPr>
            <w:r>
              <w:rPr>
                <w:rFonts w:ascii="仿宋_GB2312" w:hAnsi="仿宋_GB2312" w:cs="仿宋_GB2312" w:eastAsia="仿宋_GB2312"/>
              </w:rPr>
              <w:t>根据供应商提供的应急预案，其中的应急培训及演练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应急预案之应急通信安排</w:t>
            </w:r>
          </w:p>
        </w:tc>
        <w:tc>
          <w:tcPr>
            <w:tcW w:type="dxa" w:w="2492"/>
          </w:tcPr>
          <w:p>
            <w:pPr>
              <w:pStyle w:val="null3"/>
            </w:pPr>
            <w:r>
              <w:rPr>
                <w:rFonts w:ascii="仿宋_GB2312" w:hAnsi="仿宋_GB2312" w:cs="仿宋_GB2312" w:eastAsia="仿宋_GB2312"/>
              </w:rPr>
              <w:t>根据供应商提供的应急预案，其中的应急通信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应急预案之事后处理</w:t>
            </w:r>
          </w:p>
        </w:tc>
        <w:tc>
          <w:tcPr>
            <w:tcW w:type="dxa" w:w="2492"/>
          </w:tcPr>
          <w:p>
            <w:pPr>
              <w:pStyle w:val="null3"/>
            </w:pPr>
            <w:r>
              <w:rPr>
                <w:rFonts w:ascii="仿宋_GB2312" w:hAnsi="仿宋_GB2312" w:cs="仿宋_GB2312" w:eastAsia="仿宋_GB2312"/>
              </w:rPr>
              <w:t>根据供应商提供的应急预案，其中的事后处理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根据供应商提供的安全保障方案评审，内容完整，针对性强且有利于项目实施3.5分。存在内容缺陷的，每有一处扣0.5分，最多扣3.5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医疗及保险方案之医疗救援服务</w:t>
            </w:r>
          </w:p>
        </w:tc>
        <w:tc>
          <w:tcPr>
            <w:tcW w:type="dxa" w:w="2492"/>
          </w:tcPr>
          <w:p>
            <w:pPr>
              <w:pStyle w:val="null3"/>
            </w:pPr>
            <w:r>
              <w:rPr>
                <w:rFonts w:ascii="仿宋_GB2312" w:hAnsi="仿宋_GB2312" w:cs="仿宋_GB2312" w:eastAsia="仿宋_GB2312"/>
              </w:rPr>
              <w:t>根据供应商提供的医疗及保险方案，其中的医疗救援服务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医疗及保险方案之紧急医疗培训</w:t>
            </w:r>
          </w:p>
        </w:tc>
        <w:tc>
          <w:tcPr>
            <w:tcW w:type="dxa" w:w="2492"/>
          </w:tcPr>
          <w:p>
            <w:pPr>
              <w:pStyle w:val="null3"/>
            </w:pPr>
            <w:r>
              <w:rPr>
                <w:rFonts w:ascii="仿宋_GB2312" w:hAnsi="仿宋_GB2312" w:cs="仿宋_GB2312" w:eastAsia="仿宋_GB2312"/>
              </w:rPr>
              <w:t>根据供应商提供的医疗及保险方案，其中的紧急医疗培训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医疗及保险方案之赛事运营合作医院安排</w:t>
            </w:r>
          </w:p>
        </w:tc>
        <w:tc>
          <w:tcPr>
            <w:tcW w:type="dxa" w:w="2492"/>
          </w:tcPr>
          <w:p>
            <w:pPr>
              <w:pStyle w:val="null3"/>
            </w:pPr>
            <w:r>
              <w:rPr>
                <w:rFonts w:ascii="仿宋_GB2312" w:hAnsi="仿宋_GB2312" w:cs="仿宋_GB2312" w:eastAsia="仿宋_GB2312"/>
              </w:rPr>
              <w:t>根据供应商提供的医疗及保险方案，其中的赛事运营合作医院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医疗及保险方案之保险服务安排</w:t>
            </w:r>
          </w:p>
        </w:tc>
        <w:tc>
          <w:tcPr>
            <w:tcW w:type="dxa" w:w="2492"/>
          </w:tcPr>
          <w:p>
            <w:pPr>
              <w:pStyle w:val="null3"/>
            </w:pPr>
            <w:r>
              <w:rPr>
                <w:rFonts w:ascii="仿宋_GB2312" w:hAnsi="仿宋_GB2312" w:cs="仿宋_GB2312" w:eastAsia="仿宋_GB2312"/>
              </w:rPr>
              <w:t>根据供应商提供的医疗及保险方案，其中的保险服务安排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场地布置设计之场地布置搭建</w:t>
            </w:r>
          </w:p>
        </w:tc>
        <w:tc>
          <w:tcPr>
            <w:tcW w:type="dxa" w:w="2492"/>
          </w:tcPr>
          <w:p>
            <w:pPr>
              <w:pStyle w:val="null3"/>
            </w:pPr>
            <w:r>
              <w:rPr>
                <w:rFonts w:ascii="仿宋_GB2312" w:hAnsi="仿宋_GB2312" w:cs="仿宋_GB2312" w:eastAsia="仿宋_GB2312"/>
              </w:rPr>
              <w:t>根据供应商提供的场地布置设计，其中的场地布置搭建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场地布置设计之场地氛围营造</w:t>
            </w:r>
          </w:p>
        </w:tc>
        <w:tc>
          <w:tcPr>
            <w:tcW w:type="dxa" w:w="2492"/>
          </w:tcPr>
          <w:p>
            <w:pPr>
              <w:pStyle w:val="null3"/>
            </w:pPr>
            <w:r>
              <w:rPr>
                <w:rFonts w:ascii="仿宋_GB2312" w:hAnsi="仿宋_GB2312" w:cs="仿宋_GB2312" w:eastAsia="仿宋_GB2312"/>
              </w:rPr>
              <w:t>根据供应商提供的场地布置设计，其中的场地氛围营造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场地布置设计之视觉设计</w:t>
            </w:r>
          </w:p>
        </w:tc>
        <w:tc>
          <w:tcPr>
            <w:tcW w:type="dxa" w:w="2492"/>
          </w:tcPr>
          <w:p>
            <w:pPr>
              <w:pStyle w:val="null3"/>
            </w:pPr>
            <w:r>
              <w:rPr>
                <w:rFonts w:ascii="仿宋_GB2312" w:hAnsi="仿宋_GB2312" w:cs="仿宋_GB2312" w:eastAsia="仿宋_GB2312"/>
              </w:rPr>
              <w:t>根据供应商提供的场地布置设计，其中的视觉设计方案内容完整，针对性强且有利于项目实施得1.4分。存在内容缺陷的，每有一处扣0.2分，最多扣1.4分。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供应商拟投入本项目的服务团队（含项目负责人、场地设计、场地搭建、志愿者招聘、赛事组织、摄影、媒体宣传等岗位）达到10人得5分，10人以上每增加2人加2分，最高加14分，满分19分。以供应商加盖公章的“项目实施人员情况表”为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专业器具及设备配置</w:t>
            </w:r>
          </w:p>
        </w:tc>
        <w:tc>
          <w:tcPr>
            <w:tcW w:type="dxa" w:w="2492"/>
          </w:tcPr>
          <w:p>
            <w:pPr>
              <w:pStyle w:val="null3"/>
            </w:pPr>
            <w:r>
              <w:rPr>
                <w:rFonts w:ascii="仿宋_GB2312" w:hAnsi="仿宋_GB2312" w:cs="仿宋_GB2312" w:eastAsia="仿宋_GB2312"/>
              </w:rPr>
              <w:t>供应商具备有利于本项目实施的专业器具及设备（含摄影机、无人机等）的，每提供一类得1.3分，最高得9.1分。以加盖供应商公章的设备采购发票或租赁协议扫描件为准。</w:t>
            </w:r>
          </w:p>
        </w:tc>
        <w:tc>
          <w:tcPr>
            <w:tcW w:type="dxa" w:w="831"/>
          </w:tcPr>
          <w:p>
            <w:pPr>
              <w:pStyle w:val="null3"/>
              <w:jc w:val="right"/>
            </w:pPr>
            <w:r>
              <w:rPr>
                <w:rFonts w:ascii="仿宋_GB2312" w:hAnsi="仿宋_GB2312" w:cs="仿宋_GB2312" w:eastAsia="仿宋_GB2312"/>
              </w:rPr>
              <w:t>9.1000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拟投入项目的专业设备及工器具情况表.docx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2023年1月1日以来（以合同签订时间为准），承担过类似项目的，每提供一个合同得3分，满分12分。需提供合同关键页（含合同首部、采购内容页、合同金额页、双方盖章页）扫描件。同一项目多年度续签不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有效供应商的最终报价的最低值为基准价得满分，其他各供应商的最终报价得分按下列公式计算：（基准价/最终报价）×20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详见附件：拟投入项目的专业设备及工器具情况表.docx</w:t>
      </w:r>
    </w:p>
    <w:p>
      <w:pPr>
        <w:pStyle w:val="null3"/>
        <w:ind w:firstLine="960"/>
      </w:pPr>
      <w:r>
        <w:rPr>
          <w:rFonts w:ascii="仿宋_GB2312" w:hAnsi="仿宋_GB2312" w:cs="仿宋_GB2312" w:eastAsia="仿宋_GB2312"/>
        </w:rPr>
        <w:t>详见附件：类似项目业绩汇总表.docx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详见附件：拟投入项目的专业设备及工器具情况表.docx</w:t>
      </w:r>
    </w:p>
    <w:p>
      <w:pPr>
        <w:pStyle w:val="null3"/>
        <w:ind w:firstLine="960"/>
      </w:pPr>
      <w:r>
        <w:rPr>
          <w:rFonts w:ascii="仿宋_GB2312" w:hAnsi="仿宋_GB2312" w:cs="仿宋_GB2312" w:eastAsia="仿宋_GB2312"/>
        </w:rPr>
        <w:t>详见附件：类似项目业绩汇总表.docx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