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版本号：FXZB-2026-01520260606002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2026年西关街道太平堡村乡村建设项目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FXZB-2026-015</w:t>
      </w:r>
      <w:r>
        <w:br/>
      </w:r>
      <w:r>
        <w:br/>
      </w:r>
      <w:r>
        <w:br/>
      </w:r>
    </w:p>
    <w:p>
      <w:pPr>
        <w:pStyle w:val="null3"/>
        <w:jc w:val="center"/>
        <w:outlineLvl w:val="2"/>
      </w:pPr>
      <w:r>
        <w:rPr>
          <w:rFonts w:ascii="仿宋_GB2312" w:hAnsi="仿宋_GB2312" w:cs="仿宋_GB2312" w:eastAsia="仿宋_GB2312"/>
          <w:sz w:val="28"/>
          <w:b/>
        </w:rPr>
        <w:t>宝鸡市金台区西关街道办事处</w:t>
      </w:r>
    </w:p>
    <w:p>
      <w:pPr>
        <w:pStyle w:val="null3"/>
        <w:jc w:val="center"/>
        <w:outlineLvl w:val="2"/>
      </w:pPr>
      <w:r>
        <w:rPr>
          <w:rFonts w:ascii="仿宋_GB2312" w:hAnsi="仿宋_GB2312" w:cs="仿宋_GB2312" w:eastAsia="仿宋_GB2312"/>
          <w:sz w:val="28"/>
          <w:b/>
        </w:rPr>
        <w:t>丰信国际项目管理有限公司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丰信国际项目管理有限公司</w:t>
      </w:r>
      <w:r>
        <w:rPr>
          <w:rFonts w:ascii="仿宋_GB2312" w:hAnsi="仿宋_GB2312" w:cs="仿宋_GB2312" w:eastAsia="仿宋_GB2312"/>
        </w:rPr>
        <w:t>（以下简称“代理机构”）受</w:t>
      </w:r>
      <w:r>
        <w:rPr>
          <w:rFonts w:ascii="仿宋_GB2312" w:hAnsi="仿宋_GB2312" w:cs="仿宋_GB2312" w:eastAsia="仿宋_GB2312"/>
        </w:rPr>
        <w:t>宝鸡市金台区西关街道办事处</w:t>
      </w:r>
      <w:r>
        <w:rPr>
          <w:rFonts w:ascii="仿宋_GB2312" w:hAnsi="仿宋_GB2312" w:cs="仿宋_GB2312" w:eastAsia="仿宋_GB2312"/>
        </w:rPr>
        <w:t>委托，拟对</w:t>
      </w:r>
      <w:r>
        <w:rPr>
          <w:rFonts w:ascii="仿宋_GB2312" w:hAnsi="仿宋_GB2312" w:cs="仿宋_GB2312" w:eastAsia="仿宋_GB2312"/>
        </w:rPr>
        <w:t>2026年西关街道太平堡村乡村建设项目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FXZB-2026-015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2026年西关街道太平堡村乡村建设项目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宝鸡市金台区西关街道太平堡村乡村振兴建设项目边坡治理工程位于宝鸡市金台区太平堡村二组村民杨连礼家西侧，中心地理坐标E107°09'54.23",N34°22'35.02"，据调查，2025年10月以来，本市区降雨连续不断，二组村民杨连礼，自建房屋二层楼房，西侧出现垮塌，屋墙面多处裂缝严重，10月11日上午，南面房侧面崖体滑坡边坡非常严重、威胁村民财产和生命安全。崖体滑坡边坡宽25m、高10.5m，受损面积约330平方米，存在边坡坍塌、威胁村民杨连理家1户4人16间房屋的生命财产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采购包1（2026年西关街道太平堡村乡村建设项目）：属于专门面向中小企业采购。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1、具有独立承担民事责任能力的法人或其他组织，提供合法有效的统一社会信用代码的营业执照：具有独立承担民事责任能力的法人或其他组织，提供合法有效的统一社会信用代码的营业执照</w:t>
      </w:r>
    </w:p>
    <w:p>
      <w:pPr>
        <w:pStyle w:val="null3"/>
      </w:pPr>
      <w:r>
        <w:rPr>
          <w:rFonts w:ascii="仿宋_GB2312" w:hAnsi="仿宋_GB2312" w:cs="仿宋_GB2312" w:eastAsia="仿宋_GB2312"/>
        </w:rPr>
        <w:t>2、提供法定代表人授权书（附法定代表人、被授权人身份证复印件），被授权人需为本单位在职人员，以2025年5月至今养老保险参保缴费近三个月证明文件为准：提供法定代表人授权书（附法定代表人、被授权人身份证复印件），被授权人需为本单位在职人员，以2025年5月至今养老保险参保缴费近三个月证明文件为准</w:t>
      </w:r>
    </w:p>
    <w:p>
      <w:pPr>
        <w:pStyle w:val="null3"/>
      </w:pPr>
      <w:r>
        <w:rPr>
          <w:rFonts w:ascii="仿宋_GB2312" w:hAnsi="仿宋_GB2312" w:cs="仿宋_GB2312" w:eastAsia="仿宋_GB2312"/>
        </w:rPr>
        <w:t>3、投标人须具有“水利水电工程施工总承包二级【或】以上资质（根据2021年施行的新工程资质审核标准核发）”，且具有有效的安全生产许可证：投标人须具有“水利水电工程施工总承包二级【或】以上资质（根据2021年施行的新工程资质审核标准核发）”，且具有有效的安全生产许可证</w:t>
      </w:r>
    </w:p>
    <w:p>
      <w:pPr>
        <w:pStyle w:val="null3"/>
      </w:pPr>
      <w:r>
        <w:rPr>
          <w:rFonts w:ascii="仿宋_GB2312" w:hAnsi="仿宋_GB2312" w:cs="仿宋_GB2312" w:eastAsia="仿宋_GB2312"/>
        </w:rPr>
        <w:t>4、投标人拟派项目经理须具备建筑工程专业二级【或】以上注册建造师资格，同时具有有效的安全生产考核合格证（建安B证），且不得同时担任其他在建工程项目的项目经理。（须至少具有1名项目经理符合以上要求）：投标人拟派项目经理须具备建筑工程专业二级【或】以上注册建造师资格，同时具有有效的安全生产考核合格证（建安B证），且不得同时担任其他在建工程项目的项目经理。（须至少具有1名项目经理符合以上要求）</w:t>
      </w:r>
    </w:p>
    <w:p>
      <w:pPr>
        <w:pStyle w:val="null3"/>
      </w:pPr>
      <w:r>
        <w:rPr>
          <w:rFonts w:ascii="仿宋_GB2312" w:hAnsi="仿宋_GB2312" w:cs="仿宋_GB2312" w:eastAsia="仿宋_GB2312"/>
        </w:rPr>
        <w:t>5、凡参与磋商的供应商、法定代表人、项目经理被列入失信被执行人的，不得参加磋商（以中国执行信息公开网查询结果为准）：凡参与磋商的供应商、法定代表人、项目经理被列入失信被执行人的，不得参加磋商（以中国执行信息公开网查询结果为准）</w:t>
      </w:r>
    </w:p>
    <w:p>
      <w:pPr>
        <w:pStyle w:val="null3"/>
      </w:pPr>
      <w:r>
        <w:rPr>
          <w:rFonts w:ascii="仿宋_GB2312" w:hAnsi="仿宋_GB2312" w:cs="仿宋_GB2312" w:eastAsia="仿宋_GB2312"/>
        </w:rPr>
        <w:t>6、凡参与磋商的供应商、法定代表人、项目经理在近三年内有行贿犯罪行为的不得参加本项目磋商（以中国裁判文书网查询结果为准）：凡参与磋商的供应商、法定代表人、项目经理在近三年内有行贿犯罪行为的不得参加本项目磋商（以中国裁判文书网查询结果为准）</w:t>
      </w:r>
    </w:p>
    <w:p>
      <w:pPr>
        <w:pStyle w:val="null3"/>
      </w:pPr>
      <w:r>
        <w:rPr>
          <w:rFonts w:ascii="仿宋_GB2312" w:hAnsi="仿宋_GB2312" w:cs="仿宋_GB2312" w:eastAsia="仿宋_GB2312"/>
        </w:rPr>
        <w:t>7、提供2025年5月至今已缴纳的连续六个月的纳税证明或完税证明，依法免税的单位应提供相关证明材料：提供2025年5月至今已缴纳的连续六个月的纳税证明或完税证明，依法免税的单位应提供相关证明材料</w:t>
      </w:r>
    </w:p>
    <w:p>
      <w:pPr>
        <w:pStyle w:val="null3"/>
      </w:pPr>
      <w:r>
        <w:rPr>
          <w:rFonts w:ascii="仿宋_GB2312" w:hAnsi="仿宋_GB2312" w:cs="仿宋_GB2312" w:eastAsia="仿宋_GB2312"/>
        </w:rPr>
        <w:t>8、提供2025年5月至今已缴存的连续六个月的社会保障资金缴存单据或社保机构开具的社会保险参保缴费情况证明，依法不需要缴纳社会保障资金的单位应提供相关证明材料：提供2025年5月至今已缴存的连续六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9、供应商提供具有履行合同所必需的设备和专业技术能力的承诺；（提供声明书）：供应商提供具有履行合同所必需的设备和专业技术能力的承诺；（提供声明书）</w:t>
      </w:r>
    </w:p>
    <w:p>
      <w:pPr>
        <w:pStyle w:val="null3"/>
      </w:pPr>
      <w:r>
        <w:rPr>
          <w:rFonts w:ascii="仿宋_GB2312" w:hAnsi="仿宋_GB2312" w:cs="仿宋_GB2312" w:eastAsia="仿宋_GB2312"/>
        </w:rPr>
        <w:t>10、参加政府采购活动前三年内，在经营活动中没有重大违纪行为记录声明；（提供声明书）：参加政府采购活动前三年内，在经营活动中没有重大违纪行为记录声明；（提供声明书）</w:t>
      </w:r>
    </w:p>
    <w:p>
      <w:pPr>
        <w:pStyle w:val="null3"/>
      </w:pPr>
      <w:r>
        <w:rPr>
          <w:rFonts w:ascii="仿宋_GB2312" w:hAnsi="仿宋_GB2312" w:cs="仿宋_GB2312" w:eastAsia="仿宋_GB2312"/>
        </w:rPr>
        <w:t>11、供应商不得为“信用中国”网站（www.creditchina.gov.cn）中重大税收违法案件当事人名单的供应商，不得为“中国政府采购网”（www.ccgp.gov.cn）政府采购严重违法失信行为记录名单中被财政部门禁止参加政府采购活动的供应商；（提供查询结果网页截图并加盖公章）：供应商不得为“信用中国”网站（www.creditchina.gov.cn）中重大税收违法案件当事人名单的供应商，不得为“中国政府采购网”（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12、本项目不允许联合体磋商：本项目不允许联合体磋商（提供声明书）</w:t>
      </w:r>
    </w:p>
    <w:p>
      <w:pPr>
        <w:pStyle w:val="null3"/>
      </w:pPr>
      <w:r>
        <w:rPr>
          <w:rFonts w:ascii="仿宋_GB2312" w:hAnsi="仿宋_GB2312" w:cs="仿宋_GB2312" w:eastAsia="仿宋_GB2312"/>
        </w:rPr>
        <w:t>13、具有健全的财务会计报告：提供经审计机构出具的2025年赋码财务报告（至少包括资产负债表和利润表，成立时间至提交磋商文件截止时间不足一年的可提供成立后任意时段的资产负债表）或磋商截止时间前三个月内其基本账户银行出具的资信证明</w:t>
      </w:r>
    </w:p>
    <w:p>
      <w:pPr>
        <w:pStyle w:val="null3"/>
      </w:pPr>
      <w:r>
        <w:rPr>
          <w:rFonts w:ascii="仿宋_GB2312" w:hAnsi="仿宋_GB2312" w:cs="仿宋_GB2312" w:eastAsia="仿宋_GB2312"/>
        </w:rPr>
        <w:t>14、控股、管理关系：与招标人存在利害关系可能影响招标公正性的单位、组织及法人，不得参加磋商。单位负责人为同一人或存在控股、管理关系的不同单位，不得参加同一标项磋商，否则相关磋商均无效。（提供声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宝鸡市金台区西关街道办事处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新庄子2号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宝鸡市金台区西关街道办事处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0917-3651610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丰信国际项目管理有限公司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陕西省宝鸡市渭滨区陕西省宝鸡市高新开发区高新大道63号广场东路星钻国际A座1712室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18220767975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中共西关街道纪工委</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武工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0917-3651667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开户名称：宝鸡市公共资源交易中心保证金专户</w:t>
            </w:r>
          </w:p>
          <w:p>
            <w:pPr>
              <w:pStyle w:val="null3"/>
            </w:pPr>
            <w:r>
              <w:rPr>
                <w:rFonts w:ascii="仿宋_GB2312" w:hAnsi="仿宋_GB2312" w:cs="仿宋_GB2312" w:eastAsia="仿宋_GB2312"/>
              </w:rPr>
              <w:t>开户银行：长安银行股份有限公司宝鸡分行营业部</w:t>
            </w:r>
          </w:p>
          <w:p>
            <w:pPr>
              <w:pStyle w:val="null3"/>
            </w:pPr>
            <w:r>
              <w:rPr>
                <w:rFonts w:ascii="仿宋_GB2312" w:hAnsi="仿宋_GB2312" w:cs="仿宋_GB2312" w:eastAsia="仿宋_GB2312"/>
              </w:rPr>
              <w:t>银行账号：80602000142101980618025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宝鸡市金台区西关街道办事处</w:t>
      </w:r>
      <w:r>
        <w:rPr>
          <w:rFonts w:ascii="仿宋_GB2312" w:hAnsi="仿宋_GB2312" w:cs="仿宋_GB2312" w:eastAsia="仿宋_GB2312"/>
        </w:rPr>
        <w:t>和</w:t>
      </w:r>
      <w:r>
        <w:rPr>
          <w:rFonts w:ascii="仿宋_GB2312" w:hAnsi="仿宋_GB2312" w:cs="仿宋_GB2312" w:eastAsia="仿宋_GB2312"/>
        </w:rPr>
        <w:t>丰信国际项目管理有限公司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宝鸡市金台区西关街道办事处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丰信国际项目管理有限公司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宝鸡市金台区西关街道办事处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丰信国际项目管理有限公司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认真按照国家颁发的施工验收规范及本工程要求进行施工，并应接受甲方代表或委派人员的检查、验收，乙方应为甲方人员检查提供便利条件。施工标准应达到甲方的功能要求。对达不到合格质量标准的部分按甲方代表及委派人员的要求返工修改，承担由自身原因导致返工修改的费用。 2. 乙方应及时提供关于工程质量的技术资料、材料、设备合格证等的影印件。材料代用必须经设计单位和甲方同意后方可使用。 3. 隐蔽工程有乙方自检后，填写《工程验收单》，并通知甲方工地摆到检查验收，甲方工地代表应在 24 小时内到现场检验，在验收单上签字认可后，乙方方可进行下一工序施工。 4. 工程竣工验收，应以双方确认施工图纸、说明、技术交底纪要、设计变更通知，国家颁发的施工验收规范和质量验收标准为依据。</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丰信国际项目管理有限公司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丰信国际项目管理有限公司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丰信国际项目管理有限公司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联系人：高翔</w:t>
      </w:r>
    </w:p>
    <w:p>
      <w:pPr>
        <w:pStyle w:val="null3"/>
      </w:pPr>
      <w:r>
        <w:rPr>
          <w:rFonts w:ascii="仿宋_GB2312" w:hAnsi="仿宋_GB2312" w:cs="仿宋_GB2312" w:eastAsia="仿宋_GB2312"/>
        </w:rPr>
        <w:t>联系电话：18220767975</w:t>
      </w:r>
    </w:p>
    <w:p>
      <w:pPr>
        <w:pStyle w:val="null3"/>
      </w:pPr>
      <w:r>
        <w:rPr>
          <w:rFonts w:ascii="仿宋_GB2312" w:hAnsi="仿宋_GB2312" w:cs="仿宋_GB2312" w:eastAsia="仿宋_GB2312"/>
        </w:rPr>
        <w:t>地址：陕西省宝鸡市高新开发区高新大道63号广场东路星钻国际A座1712室</w:t>
      </w:r>
    </w:p>
    <w:p>
      <w:pPr>
        <w:pStyle w:val="null3"/>
      </w:pPr>
      <w:r>
        <w:rPr>
          <w:rFonts w:ascii="仿宋_GB2312" w:hAnsi="仿宋_GB2312" w:cs="仿宋_GB2312" w:eastAsia="仿宋_GB2312"/>
        </w:rPr>
        <w:t>邮编：721001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607,869.17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2026年西关街道太平堡村乡村建设项目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标的名称：2026年西关街道太平堡村乡村建设项目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满足《中华人民共和国政府采购法》第二十二条规定。</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经审计机构出具的2025年赋码财务报告（至少包括资产负债表和利润表，成立时间至提交磋商文件截止时间不足一年的可提供成立后任意时段的资产负债表）或磋商截止时间前三个月内其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与招标人存在利害关系可能影响招标公正性的单位、组织及法人，不得参加磋商。单位负责人为同一人或存在控股、管理关系的不同单位，不得参加同一标项磋商，否则相关磋商均无效。（提供声明书）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具有独立承担民事责任能力的法人或其他组织，提供合法有效的统一社会信用代码的营业执照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提供法定代表人授权书（附法定代表人、被授权人身份证复印件），被授权人需为本单位在职人员，以2025年5月至今养老保险参保缴费近三个月证明文件为准</w:t>
            </w:r>
          </w:p>
        </w:tc>
        <w:tc>
          <w:tcPr>
            <w:tcW w:type="dxa" w:w="3322"/>
          </w:tcPr>
          <w:p>
            <w:pPr>
              <w:pStyle w:val="null3"/>
            </w:pPr>
            <w:r>
              <w:rPr>
                <w:rFonts w:ascii="仿宋_GB2312" w:hAnsi="仿宋_GB2312" w:cs="仿宋_GB2312" w:eastAsia="仿宋_GB2312"/>
              </w:rPr>
              <w:t>提供法定代表人授权书（附法定代表人、被授权人身份证复印件），被授权人需为本单位在职人员，以2025年5月至今养老保险参保缴费近三个月证明文件为准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投标人须具有“水利水电工程施工总承包二级【或】以上资质（根据2021年施行的新工程资质审核标准核发）”，且具有有效的安全生产许可证</w:t>
            </w:r>
          </w:p>
        </w:tc>
        <w:tc>
          <w:tcPr>
            <w:tcW w:type="dxa" w:w="3322"/>
          </w:tcPr>
          <w:p>
            <w:pPr>
              <w:pStyle w:val="null3"/>
            </w:pPr>
            <w:r>
              <w:rPr>
                <w:rFonts w:ascii="仿宋_GB2312" w:hAnsi="仿宋_GB2312" w:cs="仿宋_GB2312" w:eastAsia="仿宋_GB2312"/>
              </w:rPr>
              <w:t>投标人须具有“水利水电工程施工总承包二级【或】以上资质（根据2021年施行的新工程资质审核标准核发）”，且具有有效的安全生产许可证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拟派项目经理须具备建筑工程专业二级【或】以上注册建造师资格，同时具有有效的安全生产考核合格证（建安B证），且不得同时担任其他在建工程项目的项目经理。（须至少具有1名项目经理符合以上要求）</w:t>
            </w:r>
          </w:p>
        </w:tc>
        <w:tc>
          <w:tcPr>
            <w:tcW w:type="dxa" w:w="3322"/>
          </w:tcPr>
          <w:p>
            <w:pPr>
              <w:pStyle w:val="null3"/>
            </w:pPr>
            <w:r>
              <w:rPr>
                <w:rFonts w:ascii="仿宋_GB2312" w:hAnsi="仿宋_GB2312" w:cs="仿宋_GB2312" w:eastAsia="仿宋_GB2312"/>
              </w:rPr>
              <w:t>投标人拟派项目经理须具备建筑工程专业二级【或】以上注册建造师资格，同时具有有效的安全生产考核合格证（建安B证），且不得同时担任其他在建工程项目的项目经理。（须至少具有1名项目经理符合以上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凡参与磋商的供应商、法定代表人、项目经理被列入失信被执行人的，不得参加磋商（以中国执行信息公开网查询结果为准）</w:t>
            </w:r>
          </w:p>
        </w:tc>
        <w:tc>
          <w:tcPr>
            <w:tcW w:type="dxa" w:w="3322"/>
          </w:tcPr>
          <w:p>
            <w:pPr>
              <w:pStyle w:val="null3"/>
            </w:pPr>
            <w:r>
              <w:rPr>
                <w:rFonts w:ascii="仿宋_GB2312" w:hAnsi="仿宋_GB2312" w:cs="仿宋_GB2312" w:eastAsia="仿宋_GB2312"/>
              </w:rPr>
              <w:t>凡参与磋商的供应商、法定代表人、项目经理被列入失信被执行人的，不得参加磋商（以中国执行信息公开网查询结果为准）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凡参与磋商的供应商、法定代表人、项目经理在近三年内有行贿犯罪行为的不得参加本项目磋商（以中国裁判文书网查询结果为准）</w:t>
            </w:r>
          </w:p>
        </w:tc>
        <w:tc>
          <w:tcPr>
            <w:tcW w:type="dxa" w:w="3322"/>
          </w:tcPr>
          <w:p>
            <w:pPr>
              <w:pStyle w:val="null3"/>
            </w:pPr>
            <w:r>
              <w:rPr>
                <w:rFonts w:ascii="仿宋_GB2312" w:hAnsi="仿宋_GB2312" w:cs="仿宋_GB2312" w:eastAsia="仿宋_GB2312"/>
              </w:rPr>
              <w:t>凡参与磋商的供应商、法定代表人、项目经理在近三年内有行贿犯罪行为的不得参加本项目磋商（以中国裁判文书网查询结果为准）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提供2025年5月至今已缴纳的连续六个月的纳税证明或完税证明，依法免税的单位应提供相关证明材料</w:t>
            </w:r>
          </w:p>
        </w:tc>
        <w:tc>
          <w:tcPr>
            <w:tcW w:type="dxa" w:w="3322"/>
          </w:tcPr>
          <w:p>
            <w:pPr>
              <w:pStyle w:val="null3"/>
            </w:pPr>
            <w:r>
              <w:rPr>
                <w:rFonts w:ascii="仿宋_GB2312" w:hAnsi="仿宋_GB2312" w:cs="仿宋_GB2312" w:eastAsia="仿宋_GB2312"/>
              </w:rPr>
              <w:t>提供2025年5月至今已缴纳的连续六个月的纳税证明或完税证明，依法免税的单位应提供相关证明材料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提供2025年5月至今已缴存的连续六个月的社会保障资金缴存单据或社保机构开具的社会保险参保缴费情况证明，依法不需要缴纳社会保障资金的单位应提供相关证明材料</w:t>
            </w:r>
          </w:p>
        </w:tc>
        <w:tc>
          <w:tcPr>
            <w:tcW w:type="dxa" w:w="3322"/>
          </w:tcPr>
          <w:p>
            <w:pPr>
              <w:pStyle w:val="null3"/>
            </w:pPr>
            <w:r>
              <w:rPr>
                <w:rFonts w:ascii="仿宋_GB2312" w:hAnsi="仿宋_GB2312" w:cs="仿宋_GB2312" w:eastAsia="仿宋_GB2312"/>
              </w:rPr>
              <w:t>提供2025年5月至今已缴存的连续六个月的社会保障资金缴存单据或社保机构开具的社会保险参保缴费情况证明，依法不需要缴纳社会保障资金的单位应提供相关证明材料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供应商提供具有履行合同所必需的设备和专业技术能力的承诺；（提供声明书）</w:t>
            </w:r>
          </w:p>
        </w:tc>
        <w:tc>
          <w:tcPr>
            <w:tcW w:type="dxa" w:w="3322"/>
          </w:tcPr>
          <w:p>
            <w:pPr>
              <w:pStyle w:val="null3"/>
            </w:pPr>
            <w:r>
              <w:rPr>
                <w:rFonts w:ascii="仿宋_GB2312" w:hAnsi="仿宋_GB2312" w:cs="仿宋_GB2312" w:eastAsia="仿宋_GB2312"/>
              </w:rPr>
              <w:t>供应商提供具有履行合同所必需的设备和专业技术能力的承诺；（提供声明书）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参加政府采购活动前三年内，在经营活动中没有重大违纪行为记录声明；（提供声明书）</w:t>
            </w:r>
          </w:p>
        </w:tc>
        <w:tc>
          <w:tcPr>
            <w:tcW w:type="dxa" w:w="3322"/>
          </w:tcPr>
          <w:p>
            <w:pPr>
              <w:pStyle w:val="null3"/>
            </w:pPr>
            <w:r>
              <w:rPr>
                <w:rFonts w:ascii="仿宋_GB2312" w:hAnsi="仿宋_GB2312" w:cs="仿宋_GB2312" w:eastAsia="仿宋_GB2312"/>
              </w:rPr>
              <w:t>参加政府采购活动前三年内，在经营活动中没有重大违纪行为记录声明；（提供声明书）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不得为“信用中国”网站（www.creditchina.gov.cn）中重大税收违法案件当事人名单的供应商，不得为“中国政府采购网”（www.ccgp.gov.cn）政府采购严重违法失信行为记录名单中被财政部门禁止参加政府采购活动的供应商；（提供查询结果网页截图并加盖公章）</w:t>
            </w:r>
          </w:p>
        </w:tc>
        <w:tc>
          <w:tcPr>
            <w:tcW w:type="dxa" w:w="3322"/>
          </w:tcPr>
          <w:p>
            <w:pPr>
              <w:pStyle w:val="null3"/>
            </w:pPr>
            <w:r>
              <w:rPr>
                <w:rFonts w:ascii="仿宋_GB2312" w:hAnsi="仿宋_GB2312" w:cs="仿宋_GB2312" w:eastAsia="仿宋_GB2312"/>
              </w:rPr>
              <w:t>供应商不得为“信用中国”网站（www.creditchina.gov.cn）中重大税收违法案件当事人名单的供应商，不得为“中国政府采购网”（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本项目不允许联合体磋商</w:t>
            </w:r>
          </w:p>
        </w:tc>
        <w:tc>
          <w:tcPr>
            <w:tcW w:type="dxa" w:w="3322"/>
          </w:tcPr>
          <w:p>
            <w:pPr>
              <w:pStyle w:val="null3"/>
            </w:pPr>
            <w:r>
              <w:rPr>
                <w:rFonts w:ascii="仿宋_GB2312" w:hAnsi="仿宋_GB2312" w:cs="仿宋_GB2312" w:eastAsia="仿宋_GB2312"/>
              </w:rPr>
              <w:t>本项目不允许联合体磋商（提供声明书）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具有健全的财务会计报告</w:t>
            </w:r>
          </w:p>
        </w:tc>
        <w:tc>
          <w:tcPr>
            <w:tcW w:type="dxa" w:w="3322"/>
          </w:tcPr>
          <w:p>
            <w:pPr>
              <w:pStyle w:val="null3"/>
            </w:pPr>
            <w:r>
              <w:rPr>
                <w:rFonts w:ascii="仿宋_GB2312" w:hAnsi="仿宋_GB2312" w:cs="仿宋_GB2312" w:eastAsia="仿宋_GB2312"/>
              </w:rPr>
              <w:t>提供经审计机构出具的2025年赋码财务报告（至少包括资产负债表和利润表，成立时间至提交磋商文件截止时间不足一年的可提供成立后任意时段的资产负债表）或磋商截止时间前三个月内其基本账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与招标人存在利害关系可能影响招标公正性的单位、组织及法人，不得参加磋商。单位负责人为同一人或存在控股、管理关系的不同单位，不得参加同一标项磋商，否则相关磋商均无效。（提供声明书）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至少以下三处的项目名称与本项目完全一致： （1）响应文件封面 （2）磋商响应函 （3）法定代表人委托授权书/身份证明</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针对本项目施工方案； 施工方案内容全面、切合项目实际、科学合理、现场勘察出具有效渲染效果图、针对性强得17分； 施工方案内容基本完整，满足采购需求得9分， 施工方案内容笼统，基本满足采购需求得3分， 施工方案内容未结合项目实际，描述较差得1分。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针对本项目质量采取控制方案； 质量控制方案严密、高效，有较强的实施性得8分； 质量控制内容完整，内容清晰但不完全得5分； 质量控制内容简易，描述不清楚得3分； 质量控制内容描述较差得1分。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工作进度计划及保障措施</w:t>
            </w:r>
          </w:p>
        </w:tc>
        <w:tc>
          <w:tcPr>
            <w:tcW w:type="dxa" w:w="2492"/>
          </w:tcPr>
          <w:p>
            <w:pPr>
              <w:pStyle w:val="null3"/>
            </w:pPr>
            <w:r>
              <w:rPr>
                <w:rFonts w:ascii="仿宋_GB2312" w:hAnsi="仿宋_GB2312" w:cs="仿宋_GB2312" w:eastAsia="仿宋_GB2312"/>
              </w:rPr>
              <w:t>针对本项目工作进度计划及保障措施、进度控制、关键时间节点把握等内容的进度计划。 进度计划科学合理、满足项目要求，合理性 、针对性强得6分； 进度计划有部分缺漏，基本合理性、针对性一般得4分； 计划欠缺、针对性较弱得2分； 内容较差得0分。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管理方案及人员配备：供应商提供拟派往本项目作业的班组岗位职责、管理制度，分工情况方案：方案内容描述清晰、可实施、且有针对性得5分；方案内容完整、可实施得2.5分；方案内容不明确或内容不 符合本次采购需求的得1分；未提供不得分。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安全、环境保障措施</w:t>
            </w:r>
          </w:p>
        </w:tc>
        <w:tc>
          <w:tcPr>
            <w:tcW w:type="dxa" w:w="2492"/>
          </w:tcPr>
          <w:p>
            <w:pPr>
              <w:pStyle w:val="null3"/>
            </w:pPr>
            <w:r>
              <w:rPr>
                <w:rFonts w:ascii="仿宋_GB2312" w:hAnsi="仿宋_GB2312" w:cs="仿宋_GB2312" w:eastAsia="仿宋_GB2312"/>
              </w:rPr>
              <w:t>保证作业人员安全保障和环境保护措施完善、合理、科学、先进等内容保障措施，针对现场勘察建筑环境原始图，铺设安全部署图例，合理、满足项目要求，合理性、针对性强得6分； 保障措施有部分缺漏，基本合理性、针对性一般得4分； 保障措施欠缺、针对性较弱得2分；内容较差得1分。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具有可行完善的应急预案及处理措施，根据细致程度及可操作性进行打分。是否能建立应急服务承诺制。 预案内容描述全面合理，实施性强得7分； 预案内容清晰，基本合理得5分； 预案内容简单笼统得3分； 预案内容较差得1分。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主要设施、设备的配置</w:t>
            </w:r>
          </w:p>
        </w:tc>
        <w:tc>
          <w:tcPr>
            <w:tcW w:type="dxa" w:w="2492"/>
          </w:tcPr>
          <w:p>
            <w:pPr>
              <w:pStyle w:val="null3"/>
            </w:pPr>
            <w:r>
              <w:rPr>
                <w:rFonts w:ascii="仿宋_GB2312" w:hAnsi="仿宋_GB2312" w:cs="仿宋_GB2312" w:eastAsia="仿宋_GB2312"/>
              </w:rPr>
              <w:t>拟投入的设施、设备合理齐全，确保项目的实施、电子电器设备资料齐全、安排计划配置表合理、科学，得5分； 拟投入的设施、设备较合理、较齐全安排计划表较合理，得3分； 拟投入的设施、设备不合理、不齐全安排计划表不合理，得1分。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1、售后服务：售后服务机构健全，能够提供本地化服务的（提供佐证材料，以营业执照或办公房产手续为准），具有相应的物力、人力保障， 能够保证服务正常运转，有详细的在设备发生不同类型故障后的到达现场时间、解决故障时间、补救措施等方面的措施或方案，同时具有明确的承诺且符合实际需求，提供详细的售后服务方案及售后服务承诺等，方案充实详细、有质量保证承诺，具体可行（计0-5分）。 2、质保期：满足招标文件要求的得2分，每增加1年加1.5分；本项最多得5分。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供应商提供2023年4月至今同类项目业绩有一份得2分，每增加1个得2分,该项最多得6分，（以中标通知书及合同为准，复印件加盖供应商公章)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价格分采用低价优先法计算，即满足竞争性磋商文件要求且磋商价格最低的磋商报价为磋商基准价，其价格分为满分。其他供应商的价格分统一按照下列公式计算： 磋商报价得分=（磋商基准价/最后磋商报价）×价格权值 说明：本项目为专门面向中小企业采购项目（供应商须为中小企业），专门面向中小企业采购项目，供应商不再享受价格优惠的政府采购政策。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