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3D98E">
      <w:pPr>
        <w:pStyle w:val="4"/>
        <w:keepNext w:val="0"/>
        <w:keepLines w:val="0"/>
        <w:pageBreakBefore w:val="0"/>
        <w:widowControl/>
        <w:kinsoku/>
        <w:wordWrap/>
        <w:overflowPunct/>
        <w:topLinePunct w:val="0"/>
        <w:autoSpaceDE/>
        <w:autoSpaceDN/>
        <w:bidi w:val="0"/>
        <w:adjustRightInd/>
        <w:spacing w:line="360" w:lineRule="auto"/>
        <w:ind w:left="0" w:firstLine="562" w:firstLineChars="200"/>
        <w:jc w:val="center"/>
        <w:textAlignment w:val="auto"/>
        <w:rPr>
          <w:rFonts w:ascii="仿宋_GB2312" w:hAnsi="仿宋_GB2312" w:eastAsia="仿宋_GB2312" w:cs="仿宋_GB2312"/>
          <w:b/>
          <w:sz w:val="28"/>
          <w:szCs w:val="28"/>
        </w:rPr>
      </w:pPr>
      <w:r>
        <w:rPr>
          <w:rFonts w:ascii="仿宋_GB2312" w:hAnsi="仿宋_GB2312" w:eastAsia="仿宋_GB2312" w:cs="仿宋_GB2312"/>
          <w:b/>
          <w:sz w:val="28"/>
          <w:szCs w:val="28"/>
        </w:rPr>
        <w:t>G210横山古水至火石山公路对重点保护陆生野生动物重要栖息地和迁徙通道影响评价报告编制服务竞争性谈判公告</w:t>
      </w:r>
    </w:p>
    <w:p w14:paraId="1C17AA22">
      <w:pPr>
        <w:pStyle w:val="4"/>
        <w:keepNext w:val="0"/>
        <w:keepLines w:val="0"/>
        <w:pageBreakBefore w:val="0"/>
        <w:widowControl/>
        <w:kinsoku/>
        <w:wordWrap/>
        <w:overflowPunct/>
        <w:topLinePunct w:val="0"/>
        <w:autoSpaceDE/>
        <w:autoSpaceDN/>
        <w:bidi w:val="0"/>
        <w:adjustRightInd/>
        <w:spacing w:line="360" w:lineRule="auto"/>
        <w:ind w:left="0" w:firstLine="482" w:firstLineChars="200"/>
        <w:jc w:val="both"/>
        <w:textAlignment w:val="auto"/>
        <w:rPr>
          <w:sz w:val="24"/>
          <w:szCs w:val="24"/>
        </w:rPr>
      </w:pPr>
      <w:r>
        <w:rPr>
          <w:rFonts w:ascii="仿宋_GB2312" w:hAnsi="仿宋_GB2312" w:eastAsia="仿宋_GB2312" w:cs="仿宋_GB2312"/>
          <w:b/>
          <w:sz w:val="24"/>
          <w:szCs w:val="24"/>
        </w:rPr>
        <w:t xml:space="preserve"> 项目概况</w:t>
      </w:r>
    </w:p>
    <w:p w14:paraId="19F86D3C">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G210横山古水至火石山公路对重点保护陆生野生动物重要栖息地和迁徙通道影响评价报告编制服务采购项目的潜在供应商应在陕西省公共资源交易平台CA锁自行下载获取采购文件，并于 2026年09月11日 09时30分 （北京时间）前提交响应文件。</w:t>
      </w:r>
    </w:p>
    <w:p w14:paraId="02F57E45">
      <w:pPr>
        <w:pStyle w:val="4"/>
        <w:keepNext w:val="0"/>
        <w:keepLines w:val="0"/>
        <w:pageBreakBefore w:val="0"/>
        <w:widowControl/>
        <w:kinsoku/>
        <w:wordWrap/>
        <w:overflowPunct/>
        <w:topLinePunct w:val="0"/>
        <w:autoSpaceDE/>
        <w:autoSpaceDN/>
        <w:bidi w:val="0"/>
        <w:adjustRightIn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一、项目基本情况</w:t>
      </w:r>
    </w:p>
    <w:p w14:paraId="7F032D0E">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项目编号：SXLW-ZBYL-2026-09</w:t>
      </w:r>
    </w:p>
    <w:p w14:paraId="26437662">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项目名称：G210横山古水至火石山公路对重点保护陆生野生动物重要栖息地和迁徙通道影响评价报告编制服务</w:t>
      </w:r>
    </w:p>
    <w:p w14:paraId="04FEFC2F">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采购方式：竞争性谈判</w:t>
      </w:r>
    </w:p>
    <w:p w14:paraId="63D3252C">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预算金额：350,000.00元</w:t>
      </w:r>
    </w:p>
    <w:p w14:paraId="0AE3ED2A">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采购需求：</w:t>
      </w:r>
    </w:p>
    <w:p w14:paraId="2F621336">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合同包1(G210横山古水至火石山公路对重点保护陆生野生动物重要栖息地和迁徙通道影响评价报告编制服务项目):</w:t>
      </w:r>
    </w:p>
    <w:p w14:paraId="1FCD2CE9">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合同包预算金额：350,000.00元</w:t>
      </w:r>
    </w:p>
    <w:p w14:paraId="4B7E5E38">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 xml:space="preserve"> 合同包最高限价：350,000.00元</w:t>
      </w:r>
    </w:p>
    <w:tbl>
      <w:tblPr>
        <w:tblStyle w:val="2"/>
        <w:tblW w:w="9047"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16"/>
        <w:gridCol w:w="1299"/>
        <w:gridCol w:w="2376"/>
        <w:gridCol w:w="1299"/>
        <w:gridCol w:w="1776"/>
        <w:gridCol w:w="1481"/>
      </w:tblGrid>
      <w:tr w14:paraId="466028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tblHeader/>
          <w:jc w:val="center"/>
        </w:trPr>
        <w:tc>
          <w:tcPr>
            <w:tcW w:w="0" w:type="auto"/>
            <w:vAlign w:val="center"/>
          </w:tcPr>
          <w:p w14:paraId="5E8E57C8">
            <w:pPr>
              <w:pStyle w:val="4"/>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仿宋_GB2312" w:eastAsia="仿宋_GB2312"/>
                <w:b/>
                <w:sz w:val="24"/>
                <w:szCs w:val="24"/>
              </w:rPr>
            </w:pPr>
            <w:r>
              <w:rPr>
                <w:rFonts w:ascii="仿宋_GB2312" w:hAnsi="仿宋_GB2312" w:eastAsia="仿宋_GB2312" w:cs="仿宋_GB2312"/>
                <w:b/>
                <w:sz w:val="24"/>
                <w:szCs w:val="24"/>
              </w:rPr>
              <w:t>品目号</w:t>
            </w:r>
          </w:p>
        </w:tc>
        <w:tc>
          <w:tcPr>
            <w:tcW w:w="1299" w:type="dxa"/>
            <w:vAlign w:val="center"/>
          </w:tcPr>
          <w:p w14:paraId="5BE799DE">
            <w:pPr>
              <w:pStyle w:val="4"/>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仿宋_GB2312" w:eastAsia="仿宋_GB2312"/>
                <w:b/>
                <w:sz w:val="24"/>
                <w:szCs w:val="24"/>
              </w:rPr>
            </w:pPr>
            <w:r>
              <w:rPr>
                <w:rFonts w:ascii="仿宋_GB2312" w:hAnsi="仿宋_GB2312" w:eastAsia="仿宋_GB2312" w:cs="仿宋_GB2312"/>
                <w:b/>
                <w:sz w:val="24"/>
                <w:szCs w:val="24"/>
              </w:rPr>
              <w:t>品目名称</w:t>
            </w:r>
          </w:p>
        </w:tc>
        <w:tc>
          <w:tcPr>
            <w:tcW w:w="2376" w:type="dxa"/>
            <w:vAlign w:val="center"/>
          </w:tcPr>
          <w:p w14:paraId="4EC9A187">
            <w:pPr>
              <w:pStyle w:val="4"/>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仿宋_GB2312" w:eastAsia="仿宋_GB2312"/>
                <w:b/>
                <w:sz w:val="24"/>
                <w:szCs w:val="24"/>
              </w:rPr>
            </w:pPr>
            <w:r>
              <w:rPr>
                <w:rFonts w:ascii="仿宋_GB2312" w:hAnsi="仿宋_GB2312" w:eastAsia="仿宋_GB2312" w:cs="仿宋_GB2312"/>
                <w:b/>
                <w:sz w:val="24"/>
                <w:szCs w:val="24"/>
              </w:rPr>
              <w:t>采购标的</w:t>
            </w:r>
          </w:p>
        </w:tc>
        <w:tc>
          <w:tcPr>
            <w:tcW w:w="1299" w:type="dxa"/>
            <w:vAlign w:val="center"/>
          </w:tcPr>
          <w:p w14:paraId="49A8BEAD">
            <w:pPr>
              <w:pStyle w:val="4"/>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仿宋_GB2312" w:hAnsi="仿宋_GB2312" w:eastAsia="仿宋_GB2312" w:cs="仿宋_GB2312"/>
                <w:b/>
                <w:sz w:val="24"/>
                <w:szCs w:val="24"/>
              </w:rPr>
            </w:pPr>
            <w:r>
              <w:rPr>
                <w:rFonts w:ascii="仿宋_GB2312" w:hAnsi="仿宋_GB2312" w:eastAsia="仿宋_GB2312" w:cs="仿宋_GB2312"/>
                <w:b/>
                <w:sz w:val="24"/>
                <w:szCs w:val="24"/>
              </w:rPr>
              <w:t>数量</w:t>
            </w:r>
          </w:p>
          <w:p w14:paraId="0231FFD6">
            <w:pPr>
              <w:pStyle w:val="4"/>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仿宋_GB2312" w:eastAsia="仿宋_GB2312"/>
                <w:b/>
                <w:sz w:val="24"/>
                <w:szCs w:val="24"/>
              </w:rPr>
            </w:pPr>
            <w:r>
              <w:rPr>
                <w:rFonts w:ascii="仿宋_GB2312" w:hAnsi="仿宋_GB2312" w:eastAsia="仿宋_GB2312" w:cs="仿宋_GB2312"/>
                <w:b/>
                <w:sz w:val="24"/>
                <w:szCs w:val="24"/>
              </w:rPr>
              <w:t>（单位）</w:t>
            </w:r>
          </w:p>
        </w:tc>
        <w:tc>
          <w:tcPr>
            <w:tcW w:w="1776" w:type="dxa"/>
            <w:vAlign w:val="center"/>
          </w:tcPr>
          <w:p w14:paraId="6F772606">
            <w:pPr>
              <w:pStyle w:val="4"/>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仿宋_GB2312" w:eastAsia="仿宋_GB2312"/>
                <w:b/>
                <w:sz w:val="24"/>
                <w:szCs w:val="24"/>
              </w:rPr>
            </w:pPr>
            <w:r>
              <w:rPr>
                <w:rFonts w:ascii="仿宋_GB2312" w:hAnsi="仿宋_GB2312" w:eastAsia="仿宋_GB2312" w:cs="仿宋_GB2312"/>
                <w:b/>
                <w:sz w:val="24"/>
                <w:szCs w:val="24"/>
              </w:rPr>
              <w:t>技术规格、参数及要求</w:t>
            </w:r>
          </w:p>
        </w:tc>
        <w:tc>
          <w:tcPr>
            <w:tcW w:w="1481" w:type="dxa"/>
            <w:vAlign w:val="center"/>
          </w:tcPr>
          <w:p w14:paraId="11D64023">
            <w:pPr>
              <w:pStyle w:val="4"/>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仿宋_GB2312" w:hAnsi="仿宋_GB2312" w:eastAsia="仿宋_GB2312" w:cs="仿宋_GB2312"/>
                <w:b/>
                <w:sz w:val="24"/>
                <w:szCs w:val="24"/>
              </w:rPr>
            </w:pPr>
            <w:r>
              <w:rPr>
                <w:rFonts w:ascii="仿宋_GB2312" w:hAnsi="仿宋_GB2312" w:eastAsia="仿宋_GB2312" w:cs="仿宋_GB2312"/>
                <w:b/>
                <w:sz w:val="24"/>
                <w:szCs w:val="24"/>
              </w:rPr>
              <w:t>品目预算</w:t>
            </w:r>
          </w:p>
          <w:p w14:paraId="7E9C1A66">
            <w:pPr>
              <w:pStyle w:val="4"/>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仿宋_GB2312" w:eastAsia="仿宋_GB2312"/>
                <w:b/>
                <w:sz w:val="24"/>
                <w:szCs w:val="24"/>
              </w:rPr>
            </w:pPr>
            <w:r>
              <w:rPr>
                <w:rFonts w:ascii="仿宋_GB2312" w:hAnsi="仿宋_GB2312" w:eastAsia="仿宋_GB2312" w:cs="仿宋_GB2312"/>
                <w:b/>
                <w:sz w:val="24"/>
                <w:szCs w:val="24"/>
              </w:rPr>
              <w:t>(元)</w:t>
            </w:r>
          </w:p>
        </w:tc>
      </w:tr>
      <w:tr w14:paraId="1D86BB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jc w:val="center"/>
        </w:trPr>
        <w:tc>
          <w:tcPr>
            <w:tcW w:w="816" w:type="dxa"/>
            <w:vAlign w:val="center"/>
          </w:tcPr>
          <w:p w14:paraId="6A316809">
            <w:pPr>
              <w:pStyle w:val="4"/>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仿宋_GB2312" w:eastAsia="仿宋_GB2312"/>
                <w:sz w:val="24"/>
                <w:szCs w:val="24"/>
              </w:rPr>
            </w:pPr>
            <w:r>
              <w:rPr>
                <w:rFonts w:ascii="仿宋_GB2312" w:hAnsi="仿宋_GB2312" w:eastAsia="仿宋_GB2312" w:cs="仿宋_GB2312"/>
                <w:sz w:val="24"/>
                <w:szCs w:val="24"/>
              </w:rPr>
              <w:t>1-1</w:t>
            </w:r>
          </w:p>
        </w:tc>
        <w:tc>
          <w:tcPr>
            <w:tcW w:w="1299" w:type="dxa"/>
            <w:vAlign w:val="center"/>
          </w:tcPr>
          <w:p w14:paraId="762CEB6A">
            <w:pPr>
              <w:pStyle w:val="4"/>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仿宋_GB2312" w:eastAsia="仿宋_GB2312"/>
                <w:sz w:val="24"/>
                <w:szCs w:val="24"/>
              </w:rPr>
            </w:pPr>
            <w:r>
              <w:rPr>
                <w:rFonts w:ascii="仿宋_GB2312" w:hAnsi="仿宋_GB2312" w:eastAsia="仿宋_GB2312" w:cs="仿宋_GB2312"/>
                <w:sz w:val="24"/>
                <w:szCs w:val="24"/>
              </w:rPr>
              <w:t>其他专业技术服务</w:t>
            </w:r>
          </w:p>
        </w:tc>
        <w:tc>
          <w:tcPr>
            <w:tcW w:w="2376" w:type="dxa"/>
            <w:vAlign w:val="center"/>
          </w:tcPr>
          <w:p w14:paraId="4A4BE44C">
            <w:pPr>
              <w:pStyle w:val="4"/>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ascii="仿宋_GB2312" w:eastAsia="仿宋_GB2312"/>
                <w:sz w:val="24"/>
                <w:szCs w:val="24"/>
              </w:rPr>
            </w:pPr>
            <w:r>
              <w:rPr>
                <w:rFonts w:ascii="仿宋_GB2312" w:hAnsi="仿宋_GB2312" w:eastAsia="仿宋_GB2312" w:cs="仿宋_GB2312"/>
                <w:sz w:val="24"/>
                <w:szCs w:val="24"/>
              </w:rPr>
              <w:t>G210横山古水至火石山公路对重点保护陆生野生动物重要栖息地和迁徙通道影响评价报告编制服务</w:t>
            </w:r>
          </w:p>
        </w:tc>
        <w:tc>
          <w:tcPr>
            <w:tcW w:w="1299" w:type="dxa"/>
            <w:vAlign w:val="center"/>
          </w:tcPr>
          <w:p w14:paraId="3D6E20B5">
            <w:pPr>
              <w:pStyle w:val="4"/>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仿宋_GB2312" w:eastAsia="仿宋_GB2312"/>
                <w:sz w:val="24"/>
                <w:szCs w:val="24"/>
              </w:rPr>
            </w:pPr>
            <w:r>
              <w:rPr>
                <w:rFonts w:ascii="仿宋_GB2312" w:hAnsi="仿宋_GB2312" w:eastAsia="仿宋_GB2312" w:cs="仿宋_GB2312"/>
                <w:sz w:val="24"/>
                <w:szCs w:val="24"/>
              </w:rPr>
              <w:t>1(项)</w:t>
            </w:r>
          </w:p>
        </w:tc>
        <w:tc>
          <w:tcPr>
            <w:tcW w:w="1776" w:type="dxa"/>
            <w:vAlign w:val="center"/>
          </w:tcPr>
          <w:p w14:paraId="2BC5B44E">
            <w:pPr>
              <w:pStyle w:val="4"/>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仿宋_GB2312" w:eastAsia="仿宋_GB2312"/>
                <w:sz w:val="24"/>
                <w:szCs w:val="24"/>
              </w:rPr>
            </w:pPr>
            <w:r>
              <w:rPr>
                <w:rFonts w:ascii="仿宋_GB2312" w:hAnsi="仿宋_GB2312" w:eastAsia="仿宋_GB2312" w:cs="仿宋_GB2312"/>
                <w:sz w:val="24"/>
                <w:szCs w:val="24"/>
              </w:rPr>
              <w:t>详见采购文件</w:t>
            </w:r>
          </w:p>
        </w:tc>
        <w:tc>
          <w:tcPr>
            <w:tcW w:w="1481" w:type="dxa"/>
            <w:vAlign w:val="center"/>
          </w:tcPr>
          <w:p w14:paraId="29EEED87">
            <w:pPr>
              <w:pStyle w:val="4"/>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right"/>
              <w:textAlignment w:val="auto"/>
              <w:rPr>
                <w:rFonts w:ascii="仿宋_GB2312" w:eastAsia="仿宋_GB2312"/>
                <w:sz w:val="24"/>
                <w:szCs w:val="24"/>
              </w:rPr>
            </w:pPr>
            <w:r>
              <w:rPr>
                <w:rFonts w:ascii="仿宋_GB2312" w:hAnsi="仿宋_GB2312" w:eastAsia="仿宋_GB2312" w:cs="仿宋_GB2312"/>
                <w:sz w:val="24"/>
                <w:szCs w:val="24"/>
              </w:rPr>
              <w:t>350,000.00</w:t>
            </w:r>
          </w:p>
        </w:tc>
      </w:tr>
    </w:tbl>
    <w:p w14:paraId="2BCA0F89">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 xml:space="preserve"> 本合同包不接受联合体投标</w:t>
      </w:r>
    </w:p>
    <w:p w14:paraId="38FAF0B5">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 xml:space="preserve"> 合同履行期限：详见谈判文件</w:t>
      </w:r>
      <w:bookmarkStart w:id="0" w:name="_GoBack"/>
      <w:bookmarkEnd w:id="0"/>
    </w:p>
    <w:p w14:paraId="3D7C7577">
      <w:pPr>
        <w:pStyle w:val="4"/>
        <w:keepNext w:val="0"/>
        <w:keepLines w:val="0"/>
        <w:pageBreakBefore w:val="0"/>
        <w:widowControl/>
        <w:kinsoku/>
        <w:wordWrap/>
        <w:overflowPunct/>
        <w:topLinePunct w:val="0"/>
        <w:autoSpaceDE/>
        <w:autoSpaceDN/>
        <w:bidi w:val="0"/>
        <w:adjustRightIn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二、申请人的资格要求：</w:t>
      </w:r>
    </w:p>
    <w:p w14:paraId="17299555">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1.满足《中华人民共和国政府采购法》第二十二条规定;</w:t>
      </w:r>
    </w:p>
    <w:p w14:paraId="1D5E8705">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2.落实政府采购政策需满足的资格要求：</w:t>
      </w:r>
    </w:p>
    <w:p w14:paraId="5F64A99C">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合同包1(G210横山古水至火石山公路对重点保护陆生野生动物重要栖息地和迁徙通道影响评价报告编制服务项目)落实政府采购政策需满足的资格要求如下:</w:t>
      </w:r>
    </w:p>
    <w:p w14:paraId="5FA756B4">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（1）《政府采购促进中小企业发展管理办法》的通知--财库〔2020〕46号；</w:t>
      </w:r>
      <w:r>
        <w:rPr>
          <w:sz w:val="24"/>
          <w:szCs w:val="24"/>
        </w:rPr>
        <w:br w:type="textWrapping"/>
      </w:r>
      <w:r>
        <w:rPr>
          <w:rFonts w:ascii="仿宋_GB2312" w:hAnsi="仿宋_GB2312" w:eastAsia="仿宋_GB2312" w:cs="仿宋_GB2312"/>
          <w:sz w:val="24"/>
          <w:szCs w:val="24"/>
        </w:rPr>
        <w:t>（2）《财政部司法部关于政府采购支持监狱企业发展有关问题的通知》（财库〔2014〕68号）；</w:t>
      </w:r>
      <w:r>
        <w:rPr>
          <w:sz w:val="24"/>
          <w:szCs w:val="24"/>
        </w:rPr>
        <w:br w:type="textWrapping"/>
      </w:r>
      <w:r>
        <w:rPr>
          <w:rFonts w:ascii="仿宋_GB2312" w:hAnsi="仿宋_GB2312" w:eastAsia="仿宋_GB2312" w:cs="仿宋_GB2312"/>
          <w:sz w:val="24"/>
          <w:szCs w:val="24"/>
        </w:rPr>
        <w:t>（3）《国务院办公厅关于建立政府强制采购节能产品制度的通知》（国办发〔2007〕51号）；</w:t>
      </w:r>
      <w:r>
        <w:rPr>
          <w:sz w:val="24"/>
          <w:szCs w:val="24"/>
        </w:rPr>
        <w:br w:type="textWrapping"/>
      </w:r>
      <w:r>
        <w:rPr>
          <w:rFonts w:ascii="仿宋_GB2312" w:hAnsi="仿宋_GB2312" w:eastAsia="仿宋_GB2312" w:cs="仿宋_GB2312"/>
          <w:sz w:val="24"/>
          <w:szCs w:val="24"/>
        </w:rPr>
        <w:t>（4）根据《陕西省财政厅关于进一步加大政府采购支持中小企业力度的通知》（陕财办采〔2022〕5号）；</w:t>
      </w:r>
      <w:r>
        <w:rPr>
          <w:sz w:val="24"/>
          <w:szCs w:val="24"/>
        </w:rPr>
        <w:br w:type="textWrapping"/>
      </w:r>
      <w:r>
        <w:rPr>
          <w:rFonts w:ascii="仿宋_GB2312" w:hAnsi="仿宋_GB2312" w:eastAsia="仿宋_GB2312" w:cs="仿宋_GB2312"/>
          <w:sz w:val="24"/>
          <w:szCs w:val="24"/>
        </w:rPr>
        <w:t>（5）《榆林市财政局关于进一步加大政府采购支持中小企业力度的通知》（榆政财采发〔2022〕10号）；</w:t>
      </w:r>
      <w:r>
        <w:rPr>
          <w:sz w:val="24"/>
          <w:szCs w:val="24"/>
        </w:rPr>
        <w:br w:type="textWrapping"/>
      </w:r>
      <w:r>
        <w:rPr>
          <w:rFonts w:ascii="仿宋_GB2312" w:hAnsi="仿宋_GB2312" w:eastAsia="仿宋_GB2312" w:cs="仿宋_GB2312"/>
          <w:sz w:val="24"/>
          <w:szCs w:val="24"/>
        </w:rPr>
        <w:t>（6）《陕西省财政厅关于印发《陕西省中小企业政府采购信用融资办法》（陕财办采〔2018〕23号）；</w:t>
      </w:r>
      <w:r>
        <w:rPr>
          <w:sz w:val="24"/>
          <w:szCs w:val="24"/>
        </w:rPr>
        <w:br w:type="textWrapping"/>
      </w:r>
      <w:r>
        <w:rPr>
          <w:rFonts w:ascii="仿宋_GB2312" w:hAnsi="仿宋_GB2312" w:eastAsia="仿宋_GB2312" w:cs="仿宋_GB2312"/>
          <w:sz w:val="24"/>
          <w:szCs w:val="24"/>
        </w:rPr>
        <w:t>（7）《财政部民政部中国残疾人联合会关于促进残疾人就业政府采购政策的通知》（财库〔2017〕141号）；</w:t>
      </w:r>
      <w:r>
        <w:rPr>
          <w:sz w:val="24"/>
          <w:szCs w:val="24"/>
        </w:rPr>
        <w:br w:type="textWrapping"/>
      </w:r>
      <w:r>
        <w:rPr>
          <w:rFonts w:ascii="仿宋_GB2312" w:hAnsi="仿宋_GB2312" w:eastAsia="仿宋_GB2312" w:cs="仿宋_GB2312"/>
          <w:sz w:val="24"/>
          <w:szCs w:val="24"/>
        </w:rPr>
        <w:t>（8）《关于在政府采购活动中查询及使用信用记录有关问题的通知》（财库〔2016〕125号；</w:t>
      </w:r>
      <w:r>
        <w:rPr>
          <w:sz w:val="24"/>
          <w:szCs w:val="24"/>
        </w:rPr>
        <w:br w:type="textWrapping"/>
      </w:r>
      <w:r>
        <w:rPr>
          <w:rFonts w:ascii="仿宋_GB2312" w:hAnsi="仿宋_GB2312" w:eastAsia="仿宋_GB2312" w:cs="仿宋_GB2312"/>
          <w:sz w:val="24"/>
          <w:szCs w:val="24"/>
        </w:rPr>
        <w:t>（9）关于调整优化节能产品、环境标志产品政府采购执行机制的通知（财库〔2019〕9 号）。</w:t>
      </w:r>
      <w:r>
        <w:rPr>
          <w:sz w:val="24"/>
          <w:szCs w:val="24"/>
        </w:rPr>
        <w:br w:type="textWrapping"/>
      </w:r>
      <w:r>
        <w:rPr>
          <w:rFonts w:ascii="仿宋_GB2312" w:hAnsi="仿宋_GB2312" w:eastAsia="仿宋_GB2312" w:cs="仿宋_GB2312"/>
          <w:sz w:val="24"/>
          <w:szCs w:val="24"/>
        </w:rPr>
        <w:t>（10）陕西省财政厅关于进一步落实政府采购支持中小企业相关政策的通知-陕财办采〔2023〕3号；</w:t>
      </w:r>
      <w:r>
        <w:rPr>
          <w:sz w:val="24"/>
          <w:szCs w:val="24"/>
        </w:rPr>
        <w:br w:type="textWrapping"/>
      </w:r>
      <w:r>
        <w:rPr>
          <w:rFonts w:ascii="仿宋_GB2312" w:hAnsi="仿宋_GB2312" w:eastAsia="仿宋_GB2312" w:cs="仿宋_GB2312"/>
          <w:sz w:val="24"/>
          <w:szCs w:val="24"/>
        </w:rPr>
        <w:t>（11）陕西省财政厅关于进一步优化政府采购营商环境有关事项的通知-陕财办采〔2023〕4号；</w:t>
      </w:r>
      <w:r>
        <w:rPr>
          <w:sz w:val="24"/>
          <w:szCs w:val="24"/>
        </w:rPr>
        <w:br w:type="textWrapping"/>
      </w:r>
      <w:r>
        <w:rPr>
          <w:rFonts w:ascii="仿宋_GB2312" w:hAnsi="仿宋_GB2312" w:eastAsia="仿宋_GB2312" w:cs="仿宋_GB2312"/>
          <w:sz w:val="24"/>
          <w:szCs w:val="24"/>
        </w:rPr>
        <w:t>（12）其他需要落实的政府采购政策。</w:t>
      </w:r>
    </w:p>
    <w:p w14:paraId="5DC63CF9">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3.本项目的特定资格要求：</w:t>
      </w:r>
    </w:p>
    <w:p w14:paraId="42E1C8FA">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合同包1(G210横山古水至火石山公路对重点保护陆生野生动物重要栖息地和迁徙通道影响评价报告编制服务项目)特定资格要求如下:</w:t>
      </w:r>
    </w:p>
    <w:p w14:paraId="3B287675">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1.供应商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sz w:val="24"/>
          <w:szCs w:val="24"/>
        </w:rPr>
        <w:br w:type="textWrapping"/>
      </w:r>
      <w:r>
        <w:rPr>
          <w:rFonts w:ascii="仿宋_GB2312" w:hAnsi="仿宋_GB2312" w:eastAsia="仿宋_GB2312" w:cs="仿宋_GB2312"/>
          <w:sz w:val="24"/>
          <w:szCs w:val="24"/>
        </w:rPr>
        <w:t>2.供应商须在全国环境影响评价信用平台完成备案；供应商拟派往项目负责人必须持有注册环境影响评价工程师职业资格证,且具备环境相关专业中级及以上职称；</w:t>
      </w:r>
      <w:r>
        <w:rPr>
          <w:sz w:val="24"/>
          <w:szCs w:val="24"/>
        </w:rPr>
        <w:br w:type="textWrapping"/>
      </w:r>
      <w:r>
        <w:rPr>
          <w:rFonts w:ascii="仿宋_GB2312" w:hAnsi="仿宋_GB2312" w:eastAsia="仿宋_GB2312" w:cs="仿宋_GB2312"/>
          <w:sz w:val="24"/>
          <w:szCs w:val="24"/>
        </w:rPr>
        <w:t>3.财务状况：供应商须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谈判响应文件递交截止时间不足一年的，须提供其基本存款账户开户银行近三个月内出具的银行资信证明或自成立以来的财务报表；其他组织提供银行出具的资信证明或财务报表；</w:t>
      </w:r>
      <w:r>
        <w:rPr>
          <w:sz w:val="24"/>
          <w:szCs w:val="24"/>
        </w:rPr>
        <w:br w:type="textWrapping"/>
      </w:r>
      <w:r>
        <w:rPr>
          <w:rFonts w:ascii="仿宋_GB2312" w:hAnsi="仿宋_GB2312" w:eastAsia="仿宋_GB2312" w:cs="仿宋_GB2312"/>
          <w:sz w:val="24"/>
          <w:szCs w:val="24"/>
        </w:rPr>
        <w:t>4.社会保障资金缴纳证明：提供2026年01月01日至今已缴纳的至少一个月的社会保障资金银行缴费单据或社保机构开具的社会保险参保缴费情况证明，依法不需要缴纳社会保障资金的单位应提供相关证明材料；</w:t>
      </w:r>
      <w:r>
        <w:rPr>
          <w:sz w:val="24"/>
          <w:szCs w:val="24"/>
        </w:rPr>
        <w:br w:type="textWrapping"/>
      </w:r>
      <w:r>
        <w:rPr>
          <w:rFonts w:ascii="仿宋_GB2312" w:hAnsi="仿宋_GB2312" w:eastAsia="仿宋_GB2312" w:cs="仿宋_GB2312"/>
          <w:sz w:val="24"/>
          <w:szCs w:val="24"/>
        </w:rPr>
        <w:t>5.税收缴纳证明：提供2026年01月01日至今已缴纳的至少一个月的纳税证明（银行缴费凭证）或完税证明，依法免税的单位应提供相关证明材料；</w:t>
      </w:r>
      <w:r>
        <w:rPr>
          <w:sz w:val="24"/>
          <w:szCs w:val="24"/>
        </w:rPr>
        <w:br w:type="textWrapping"/>
      </w:r>
      <w:r>
        <w:rPr>
          <w:rFonts w:ascii="仿宋_GB2312" w:hAnsi="仿宋_GB2312" w:eastAsia="仿宋_GB2312" w:cs="仿宋_GB2312"/>
          <w:sz w:val="24"/>
          <w:szCs w:val="24"/>
        </w:rPr>
        <w:t>6.书面声明：参加本次政府采购活动前三年内在经营活动中没有重大违纪书面声明；</w:t>
      </w:r>
      <w:r>
        <w:rPr>
          <w:sz w:val="24"/>
          <w:szCs w:val="24"/>
        </w:rPr>
        <w:br w:type="textWrapping"/>
      </w:r>
      <w:r>
        <w:rPr>
          <w:rFonts w:ascii="仿宋_GB2312" w:hAnsi="仿宋_GB2312" w:eastAsia="仿宋_GB2312" w:cs="仿宋_GB2312"/>
          <w:sz w:val="24"/>
          <w:szCs w:val="24"/>
        </w:rPr>
        <w:t>7.须提供榆林市政府采购服务类项目供应商信用承诺书；</w:t>
      </w:r>
      <w:r>
        <w:rPr>
          <w:sz w:val="24"/>
          <w:szCs w:val="24"/>
        </w:rPr>
        <w:br w:type="textWrapping"/>
      </w:r>
      <w:r>
        <w:rPr>
          <w:rFonts w:ascii="仿宋_GB2312" w:hAnsi="仿宋_GB2312" w:eastAsia="仿宋_GB2312" w:cs="仿宋_GB2312"/>
          <w:sz w:val="24"/>
          <w:szCs w:val="24"/>
        </w:rPr>
        <w:t>8.供应商提供在投标截止日前在信用中国网（www.creditchina.gov.cn）未被列入失信被执行人、重大税收违法失信主体和在中国政府采购网（www.ccgp.gov.cn）未被列入政府采购严重违法失信行为记录名单（处罚期限届满的除外，如相关失信记录已失效，投标人需提供相关证明资料）；须提供信用中国网及中国政府采购网相应查询结果的网站截图（查询日期为从件获取之日起至投标截止日前但最终以投标截止日当天评审小组查询结果为准）；</w:t>
      </w:r>
      <w:r>
        <w:rPr>
          <w:sz w:val="24"/>
          <w:szCs w:val="24"/>
        </w:rPr>
        <w:br w:type="textWrapping"/>
      </w:r>
      <w:r>
        <w:rPr>
          <w:rFonts w:ascii="仿宋_GB2312" w:hAnsi="仿宋_GB2312" w:eastAsia="仿宋_GB2312" w:cs="仿宋_GB2312"/>
          <w:sz w:val="24"/>
          <w:szCs w:val="24"/>
        </w:rPr>
        <w:t>9.本项目采用信用承诺书代替投标保证金，提供信用中国陕西榆林承诺网页截图（截图须体现项目名称，承诺公示日期为从文件获取之日起至投标截止日前）；</w:t>
      </w:r>
      <w:r>
        <w:rPr>
          <w:sz w:val="24"/>
          <w:szCs w:val="24"/>
        </w:rPr>
        <w:br w:type="textWrapping"/>
      </w:r>
      <w:r>
        <w:rPr>
          <w:rFonts w:ascii="仿宋_GB2312" w:hAnsi="仿宋_GB2312" w:eastAsia="仿宋_GB2312" w:cs="仿宋_GB2312"/>
          <w:sz w:val="24"/>
          <w:szCs w:val="24"/>
        </w:rPr>
        <w:t>10.本项目专门面向中小企业采购；</w:t>
      </w:r>
      <w:r>
        <w:rPr>
          <w:sz w:val="24"/>
          <w:szCs w:val="24"/>
        </w:rPr>
        <w:br w:type="textWrapping"/>
      </w:r>
      <w:r>
        <w:rPr>
          <w:rFonts w:ascii="仿宋_GB2312" w:hAnsi="仿宋_GB2312" w:eastAsia="仿宋_GB2312" w:cs="仿宋_GB2312"/>
          <w:sz w:val="24"/>
          <w:szCs w:val="24"/>
        </w:rPr>
        <w:t>11.本项目不接受联合体投标，须提供非联合体投标声明（单位负责人为同一人或者存在直接控股、管理关系的不同投标人，不得参加同一合同项下的政府采购活动）。</w:t>
      </w:r>
      <w:r>
        <w:rPr>
          <w:sz w:val="24"/>
          <w:szCs w:val="24"/>
        </w:rPr>
        <w:br w:type="textWrapping"/>
      </w:r>
    </w:p>
    <w:p w14:paraId="2F97D5B6">
      <w:pPr>
        <w:pStyle w:val="4"/>
        <w:keepNext w:val="0"/>
        <w:keepLines w:val="0"/>
        <w:pageBreakBefore w:val="0"/>
        <w:widowControl/>
        <w:kinsoku/>
        <w:wordWrap/>
        <w:overflowPunct/>
        <w:topLinePunct w:val="0"/>
        <w:autoSpaceDE/>
        <w:autoSpaceDN/>
        <w:bidi w:val="0"/>
        <w:adjustRightIn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三、获取采购文件</w:t>
      </w:r>
    </w:p>
    <w:p w14:paraId="072F3BF7">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时间： 2026年09月08日 至 2026年09月10日 ，每天上午 09:00:00 至 12:00:00 ，下午 12:00:00 至 17:00:00 （北京时间）</w:t>
      </w:r>
    </w:p>
    <w:p w14:paraId="00EC1964">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途径：陕西省公共资源交易平台CA锁自行下载</w:t>
      </w:r>
    </w:p>
    <w:p w14:paraId="12C1EBE6">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方式：现场获取</w:t>
      </w:r>
    </w:p>
    <w:p w14:paraId="21758CEF">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售价： 0元</w:t>
      </w:r>
    </w:p>
    <w:p w14:paraId="51484ACA">
      <w:pPr>
        <w:pStyle w:val="4"/>
        <w:keepNext w:val="0"/>
        <w:keepLines w:val="0"/>
        <w:pageBreakBefore w:val="0"/>
        <w:widowControl/>
        <w:kinsoku/>
        <w:wordWrap/>
        <w:overflowPunct/>
        <w:topLinePunct w:val="0"/>
        <w:autoSpaceDE/>
        <w:autoSpaceDN/>
        <w:bidi w:val="0"/>
        <w:adjustRightIn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四、响应文件提交</w:t>
      </w:r>
    </w:p>
    <w:p w14:paraId="6C9F2E51">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截止时间： 2026年09月11日 09时30分00秒 （北京时间）</w:t>
      </w:r>
    </w:p>
    <w:p w14:paraId="3B5F3454">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地点：榆林市高新区榆商大厦A座16楼 1612室</w:t>
      </w:r>
    </w:p>
    <w:p w14:paraId="3C7FCF9E">
      <w:pPr>
        <w:pStyle w:val="4"/>
        <w:keepNext w:val="0"/>
        <w:keepLines w:val="0"/>
        <w:pageBreakBefore w:val="0"/>
        <w:widowControl/>
        <w:kinsoku/>
        <w:wordWrap/>
        <w:overflowPunct/>
        <w:topLinePunct w:val="0"/>
        <w:autoSpaceDE/>
        <w:autoSpaceDN/>
        <w:bidi w:val="0"/>
        <w:adjustRightIn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五、开启</w:t>
      </w:r>
    </w:p>
    <w:p w14:paraId="22590794">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时间： 2026年09月11日 09时30分00秒 （北京时间）</w:t>
      </w:r>
    </w:p>
    <w:p w14:paraId="392ACEBB">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地点：榆林市高新区榆商大厦A座16楼 1612室</w:t>
      </w:r>
    </w:p>
    <w:p w14:paraId="3B5F8218">
      <w:pPr>
        <w:pStyle w:val="4"/>
        <w:keepNext w:val="0"/>
        <w:keepLines w:val="0"/>
        <w:pageBreakBefore w:val="0"/>
        <w:widowControl/>
        <w:kinsoku/>
        <w:wordWrap/>
        <w:overflowPunct/>
        <w:topLinePunct w:val="0"/>
        <w:autoSpaceDE/>
        <w:autoSpaceDN/>
        <w:bidi w:val="0"/>
        <w:adjustRightIn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六、公告期限</w:t>
      </w:r>
    </w:p>
    <w:p w14:paraId="14F980EA">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自本公告发布之日起3个工作日。</w:t>
      </w:r>
    </w:p>
    <w:p w14:paraId="14E5D313">
      <w:pPr>
        <w:pStyle w:val="4"/>
        <w:keepNext w:val="0"/>
        <w:keepLines w:val="0"/>
        <w:pageBreakBefore w:val="0"/>
        <w:widowControl/>
        <w:kinsoku/>
        <w:wordWrap/>
        <w:overflowPunct/>
        <w:topLinePunct w:val="0"/>
        <w:autoSpaceDE/>
        <w:autoSpaceDN/>
        <w:bidi w:val="0"/>
        <w:adjustRightIn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七、其他补充事宜</w:t>
      </w:r>
    </w:p>
    <w:p w14:paraId="78F8D32D">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color w:val="000000"/>
          <w:sz w:val="24"/>
          <w:szCs w:val="24"/>
        </w:rPr>
        <w:t>（1）平台报名：登录全国公共资源交易中心平台（陕西省）（http://www.sxggzyjy.cn/）,选择“电子交易平台→陕西政府采购交易系统→陕西省公共资源交易平台→供应商”进行登录，登录后选择“交易乙方”身份进入供应商界面进行报名并下载采购文件。电子采购文件在获取期内进行下载，逾期下载通道将关闭，未及时下载采购文件将会影响后续开评标活动。</w:t>
      </w:r>
    </w:p>
    <w:p w14:paraId="2EBC5888">
      <w:pPr>
        <w:pStyle w:val="4"/>
        <w:keepNext w:val="0"/>
        <w:keepLines w:val="0"/>
        <w:pageBreakBefore w:val="0"/>
        <w:widowControl/>
        <w:kinsoku/>
        <w:wordWrap/>
        <w:overflowPunct/>
        <w:topLinePunct w:val="0"/>
        <w:autoSpaceDE/>
        <w:autoSpaceDN/>
        <w:bidi w:val="0"/>
        <w:adjustRightInd/>
        <w:spacing w:line="360" w:lineRule="auto"/>
        <w:ind w:left="0" w:firstLine="480" w:firstLineChars="200"/>
        <w:jc w:val="both"/>
        <w:textAlignment w:val="auto"/>
        <w:rPr>
          <w:sz w:val="24"/>
          <w:szCs w:val="24"/>
        </w:rPr>
      </w:pPr>
      <w:r>
        <w:rPr>
          <w:rFonts w:ascii="仿宋_GB2312" w:hAnsi="仿宋_GB2312" w:eastAsia="仿宋_GB2312" w:cs="仿宋_GB2312"/>
          <w:color w:val="000000"/>
          <w:sz w:val="24"/>
          <w:szCs w:val="24"/>
        </w:rPr>
        <w:t>（2）请供应商按照陕西省财政厅关于政府采购供应商注册登记有关事项的通知中的要求，通过陕西省政府采购网（http://www.ccgp-shaanxi.gov.cn/）注册登记加入陕西省政府采购供应商库。</w:t>
      </w:r>
    </w:p>
    <w:p w14:paraId="5A2A3FE5">
      <w:pPr>
        <w:pStyle w:val="4"/>
        <w:keepNext w:val="0"/>
        <w:keepLines w:val="0"/>
        <w:pageBreakBefore w:val="0"/>
        <w:widowControl/>
        <w:kinsoku/>
        <w:wordWrap/>
        <w:overflowPunct/>
        <w:topLinePunct w:val="0"/>
        <w:autoSpaceDE/>
        <w:autoSpaceDN/>
        <w:bidi w:val="0"/>
        <w:adjustRightIn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八、对本次招标提出询问，请按以下方式联系。</w:t>
      </w:r>
    </w:p>
    <w:p w14:paraId="10CE4D84">
      <w:pPr>
        <w:pStyle w:val="4"/>
        <w:keepNext w:val="0"/>
        <w:keepLines w:val="0"/>
        <w:pageBreakBefore w:val="0"/>
        <w:widowControl/>
        <w:kinsoku/>
        <w:wordWrap/>
        <w:overflowPunct/>
        <w:topLinePunct w:val="0"/>
        <w:autoSpaceDE/>
        <w:autoSpaceDN/>
        <w:bidi w:val="0"/>
        <w:adjustRightInd/>
        <w:spacing w:line="360" w:lineRule="auto"/>
        <w:ind w:left="0" w:firstLine="482" w:firstLineChars="200"/>
        <w:textAlignment w:val="auto"/>
        <w:outlineLvl w:val="5"/>
        <w:rPr>
          <w:sz w:val="24"/>
          <w:szCs w:val="24"/>
        </w:rPr>
      </w:pPr>
      <w:r>
        <w:rPr>
          <w:rFonts w:ascii="仿宋_GB2312" w:hAnsi="仿宋_GB2312" w:eastAsia="仿宋_GB2312" w:cs="仿宋_GB2312"/>
          <w:b/>
          <w:sz w:val="24"/>
          <w:szCs w:val="24"/>
        </w:rPr>
        <w:t>1.采购人信息</w:t>
      </w:r>
    </w:p>
    <w:p w14:paraId="40A74988">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名称：榆林市交通运输局</w:t>
      </w:r>
    </w:p>
    <w:p w14:paraId="4F67C5A5">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地址：陕西省榆林市榆阳区航宇路99号</w:t>
      </w:r>
    </w:p>
    <w:p w14:paraId="0A98C149">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联系方式：15509129966</w:t>
      </w:r>
    </w:p>
    <w:p w14:paraId="11DC0AF1">
      <w:pPr>
        <w:pStyle w:val="4"/>
        <w:keepNext w:val="0"/>
        <w:keepLines w:val="0"/>
        <w:pageBreakBefore w:val="0"/>
        <w:widowControl/>
        <w:kinsoku/>
        <w:wordWrap/>
        <w:overflowPunct/>
        <w:topLinePunct w:val="0"/>
        <w:autoSpaceDE/>
        <w:autoSpaceDN/>
        <w:bidi w:val="0"/>
        <w:adjustRightInd/>
        <w:spacing w:line="360" w:lineRule="auto"/>
        <w:ind w:left="0" w:firstLine="482" w:firstLineChars="200"/>
        <w:textAlignment w:val="auto"/>
        <w:outlineLvl w:val="5"/>
        <w:rPr>
          <w:sz w:val="24"/>
          <w:szCs w:val="24"/>
        </w:rPr>
      </w:pPr>
      <w:r>
        <w:rPr>
          <w:rFonts w:ascii="仿宋_GB2312" w:hAnsi="仿宋_GB2312" w:eastAsia="仿宋_GB2312" w:cs="仿宋_GB2312"/>
          <w:b/>
          <w:sz w:val="24"/>
          <w:szCs w:val="24"/>
        </w:rPr>
        <w:t>2.采购代理机构信息</w:t>
      </w:r>
    </w:p>
    <w:p w14:paraId="209E4DCC">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名称：陕西利维工程项目管理有限公司</w:t>
      </w:r>
    </w:p>
    <w:p w14:paraId="58439E44">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地址：陕西省西安市未央区陕西省西安市经开区凤城六路东段398号新界1-1-10905、10906号</w:t>
      </w:r>
    </w:p>
    <w:p w14:paraId="33647751">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联系方式：13571008964</w:t>
      </w:r>
    </w:p>
    <w:p w14:paraId="4EB13535">
      <w:pPr>
        <w:pStyle w:val="4"/>
        <w:keepNext w:val="0"/>
        <w:keepLines w:val="0"/>
        <w:pageBreakBefore w:val="0"/>
        <w:widowControl/>
        <w:kinsoku/>
        <w:wordWrap/>
        <w:overflowPunct/>
        <w:topLinePunct w:val="0"/>
        <w:autoSpaceDE/>
        <w:autoSpaceDN/>
        <w:bidi w:val="0"/>
        <w:adjustRightInd/>
        <w:spacing w:line="360" w:lineRule="auto"/>
        <w:ind w:left="0" w:firstLine="482" w:firstLineChars="200"/>
        <w:textAlignment w:val="auto"/>
        <w:outlineLvl w:val="5"/>
        <w:rPr>
          <w:sz w:val="24"/>
          <w:szCs w:val="24"/>
        </w:rPr>
      </w:pPr>
      <w:r>
        <w:rPr>
          <w:rFonts w:ascii="仿宋_GB2312" w:hAnsi="仿宋_GB2312" w:eastAsia="仿宋_GB2312" w:cs="仿宋_GB2312"/>
          <w:b/>
          <w:sz w:val="24"/>
          <w:szCs w:val="24"/>
        </w:rPr>
        <w:t>3.项目联系方式</w:t>
      </w:r>
    </w:p>
    <w:p w14:paraId="45BD4622">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项目联系人：刘如如</w:t>
      </w:r>
    </w:p>
    <w:p w14:paraId="1F44ED72">
      <w:pPr>
        <w:pStyle w:val="4"/>
        <w:keepNext w:val="0"/>
        <w:keepLines w:val="0"/>
        <w:pageBreakBefore w:val="0"/>
        <w:widowControl/>
        <w:kinsoku/>
        <w:wordWrap/>
        <w:overflowPunct/>
        <w:topLinePunct w:val="0"/>
        <w:autoSpaceDE/>
        <w:autoSpaceDN/>
        <w:bidi w:val="0"/>
        <w:adjustRightInd/>
        <w:spacing w:line="360" w:lineRule="auto"/>
        <w:ind w:left="0" w:firstLine="480" w:firstLineChars="200"/>
        <w:textAlignment w:val="auto"/>
        <w:rPr>
          <w:sz w:val="24"/>
          <w:szCs w:val="24"/>
        </w:rPr>
      </w:pPr>
      <w:r>
        <w:rPr>
          <w:rFonts w:ascii="仿宋_GB2312" w:hAnsi="仿宋_GB2312" w:eastAsia="仿宋_GB2312" w:cs="仿宋_GB2312"/>
          <w:sz w:val="24"/>
          <w:szCs w:val="24"/>
        </w:rPr>
        <w:t>电话：17629123183</w:t>
      </w:r>
    </w:p>
    <w:p w14:paraId="012862A0">
      <w:pPr>
        <w:pStyle w:val="4"/>
        <w:jc w:val="right"/>
      </w:pPr>
      <w:r>
        <w:rPr>
          <w:rFonts w:ascii="仿宋_GB2312" w:hAnsi="仿宋_GB2312" w:eastAsia="仿宋_GB2312" w:cs="仿宋_GB2312"/>
          <w:sz w:val="24"/>
          <w:szCs w:val="24"/>
        </w:rPr>
        <w:t>陕西利维工程项目管理有限公司</w:t>
      </w:r>
      <w:r>
        <w:br w:type="textWrapping"/>
      </w:r>
    </w:p>
    <w:p w14:paraId="1893D925">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36D3F6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2608</Words>
  <Characters>2992</Characters>
  <Lines>0</Lines>
  <Paragraphs>0</Paragraphs>
  <TotalTime>1</TotalTime>
  <ScaleCrop>false</ScaleCrop>
  <LinksUpToDate>false</LinksUpToDate>
  <CharactersWithSpaces>3021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Administrator</cp:lastModifiedBy>
  <dcterms:modified xsi:type="dcterms:W3CDTF">2026-09-07T01:08:41Z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eyJoZGlkIjoiMTBmYzE3MGQ4NWQ3NjAyZjMzNGQzYjAxYWJjYzIxM2YiLCJ1c2VySWQiOiIyNjAwOTA2NjUifQ==</vt:lpwstr>
  </property>
  <property fmtid="{D5CDD505-2E9C-101B-9397-08002B2CF9AE}" pid="4" name="ICV">
    <vt:lpwstr>4F55D1288E004AD0A98D6C2EB7D85977_13</vt:lpwstr>
  </property>
</Properties>
</file>