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版本号：YD-202602220260517001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政飞云平台建设采购项目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YD-2026022</w:t>
      </w:r>
      <w:r>
        <w:br/>
      </w:r>
      <w:r>
        <w:br/>
      </w:r>
      <w:r>
        <w:br/>
      </w:r>
    </w:p>
    <w:p>
      <w:pPr>
        <w:pStyle w:val="null3"/>
        <w:jc w:val="center"/>
        <w:outlineLvl w:val="2"/>
      </w:pPr>
      <w:r>
        <w:rPr>
          <w:rFonts w:ascii="仿宋_GB2312" w:hAnsi="仿宋_GB2312" w:cs="仿宋_GB2312" w:eastAsia="仿宋_GB2312"/>
          <w:sz w:val="28"/>
          <w:b/>
        </w:rPr>
        <w:t>宁强县政府办</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宁强县政府办</w:t>
      </w:r>
      <w:r>
        <w:rPr>
          <w:rFonts w:ascii="仿宋_GB2312" w:hAnsi="仿宋_GB2312" w:cs="仿宋_GB2312" w:eastAsia="仿宋_GB2312"/>
        </w:rPr>
        <w:t>委托，拟对</w:t>
      </w:r>
      <w:r>
        <w:rPr>
          <w:rFonts w:ascii="仿宋_GB2312" w:hAnsi="仿宋_GB2312" w:cs="仿宋_GB2312" w:eastAsia="仿宋_GB2312"/>
        </w:rPr>
        <w:t>政飞云平台建设采购项目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政飞云平台建设采购项目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政飞云平台建设采购项目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 ；拟参与本项目的供应商应按照汉中市财政局《关于全面推行政府采购供应商基本资格条件承诺制的通知》(汉财办采管(2024)20号)文件要求，提供满足相应条件的资格承诺函；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4、控股管理关系：单位负责人为同一人或者存在直接控股、管理关系的供应商，不得参加同一合同项下的政府采购活动。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宁强县政府办</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陕西省汉中市宁强县汉源街道办事处民主街6号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0916-4228129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宁强县政府办</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宁强县政府办</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宁强县政府办</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政飞云平台建设采购项目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政飞云平台建设采购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标的名称：政飞云平台建设采购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93"/>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1</w:t>
                  </w:r>
                </w:p>
                <w:p>
                  <w:pPr>
                    <w:pStyle w:val="null3"/>
                    <w:spacing w:before="30"/>
                    <w:jc w:val="center"/>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核心产品</w:t>
                  </w:r>
                  <w:r>
                    <w:rPr>
                      <w:rFonts w:ascii="仿宋_GB2312" w:hAnsi="仿宋_GB2312" w:cs="仿宋_GB2312" w:eastAsia="仿宋_GB2312"/>
                      <w:sz w:val="18"/>
                      <w:b/>
                      <w:color w:val="000000"/>
                    </w:rPr>
                    <w:t>）</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rFonts w:ascii="仿宋_GB2312" w:hAnsi="仿宋_GB2312" w:cs="仿宋_GB2312" w:eastAsia="仿宋_GB2312"/>
                      <w:sz w:val="18"/>
                      <w:color w:val="000000"/>
                    </w:rPr>
                    <w:t>5</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rFonts w:ascii="仿宋_GB2312" w:hAnsi="仿宋_GB2312" w:cs="仿宋_GB2312" w:eastAsia="仿宋_GB2312"/>
                      <w:sz w:val="18"/>
                      <w:color w:val="000000"/>
                    </w:rPr>
                    <w:t>台</w:t>
                  </w:r>
                </w:p>
              </w:tc>
              <w:tc>
                <w:tcPr>
                  <w:tcW w:type="dxa" w:w="19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2"/>
                  </w:pPr>
                  <w:r>
                    <w:rPr>
                      <w:rFonts w:ascii="仿宋_GB2312" w:hAnsi="仿宋_GB2312" w:cs="仿宋_GB2312" w:eastAsia="仿宋_GB2312"/>
                      <w:sz w:val="18"/>
                      <w:color w:val="000000"/>
                    </w:rPr>
                    <w:t>无人机旋翼数量：</w:t>
                  </w:r>
                  <w:r>
                    <w:rPr>
                      <w:rFonts w:ascii="仿宋_GB2312" w:hAnsi="仿宋_GB2312" w:cs="仿宋_GB2312" w:eastAsia="仿宋_GB2312"/>
                      <w:sz w:val="18"/>
                      <w:color w:val="000000"/>
                    </w:rPr>
                    <w:t>4个；</w:t>
                  </w:r>
                </w:p>
                <w:p>
                  <w:pPr>
                    <w:pStyle w:val="null3"/>
                    <w:spacing w:before="90"/>
                    <w:ind w:firstLine="2"/>
                  </w:pPr>
                  <w:r>
                    <w:rPr>
                      <w:rFonts w:ascii="仿宋_GB2312" w:hAnsi="仿宋_GB2312" w:cs="仿宋_GB2312" w:eastAsia="仿宋_GB2312"/>
                      <w:sz w:val="18"/>
                      <w:color w:val="000000"/>
                    </w:rPr>
                    <w:t>起飞重量</w:t>
                  </w:r>
                  <w:r>
                    <w:rPr>
                      <w:rFonts w:ascii="仿宋_GB2312" w:hAnsi="仿宋_GB2312" w:cs="仿宋_GB2312" w:eastAsia="仿宋_GB2312"/>
                      <w:sz w:val="18"/>
                      <w:color w:val="000000"/>
                    </w:rPr>
                    <w:t>(含电池)不大于1900克；</w:t>
                  </w:r>
                </w:p>
                <w:p>
                  <w:pPr>
                    <w:pStyle w:val="null3"/>
                    <w:spacing w:before="90"/>
                    <w:ind w:firstLine="2"/>
                  </w:pPr>
                  <w:r>
                    <w:rPr>
                      <w:rFonts w:ascii="仿宋_GB2312" w:hAnsi="仿宋_GB2312" w:cs="仿宋_GB2312" w:eastAsia="仿宋_GB2312"/>
                      <w:sz w:val="18"/>
                      <w:color w:val="000000"/>
                    </w:rPr>
                    <w:t>最大飞行时间不小于</w:t>
                  </w:r>
                  <w:r>
                    <w:rPr>
                      <w:rFonts w:ascii="仿宋_GB2312" w:hAnsi="仿宋_GB2312" w:cs="仿宋_GB2312" w:eastAsia="仿宋_GB2312"/>
                      <w:sz w:val="18"/>
                      <w:color w:val="000000"/>
                    </w:rPr>
                    <w:t>52分钟；</w:t>
                  </w:r>
                </w:p>
                <w:p>
                  <w:pPr>
                    <w:pStyle w:val="null3"/>
                    <w:spacing w:before="90"/>
                    <w:ind w:firstLine="2"/>
                  </w:pPr>
                  <w:r>
                    <w:rPr>
                      <w:rFonts w:ascii="仿宋_GB2312" w:hAnsi="仿宋_GB2312" w:cs="仿宋_GB2312" w:eastAsia="仿宋_GB2312"/>
                      <w:sz w:val="18"/>
                      <w:color w:val="000000"/>
                    </w:rPr>
                    <w:t>最大水平飞行速度不小于</w:t>
                  </w:r>
                  <w:r>
                    <w:rPr>
                      <w:rFonts w:ascii="仿宋_GB2312" w:hAnsi="仿宋_GB2312" w:cs="仿宋_GB2312" w:eastAsia="仿宋_GB2312"/>
                      <w:sz w:val="18"/>
                      <w:color w:val="000000"/>
                    </w:rPr>
                    <w:t>20米/秒；</w:t>
                  </w:r>
                </w:p>
                <w:p>
                  <w:pPr>
                    <w:pStyle w:val="null3"/>
                    <w:spacing w:before="90"/>
                    <w:ind w:firstLine="2"/>
                  </w:pP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-20°C至50°C；</w:t>
                  </w:r>
                </w:p>
                <w:p>
                  <w:pPr>
                    <w:pStyle w:val="null3"/>
                    <w:spacing w:before="90"/>
                    <w:ind w:firstLine="2"/>
                  </w:pPr>
                  <w:r>
                    <w:rPr>
                      <w:rFonts w:ascii="仿宋_GB2312" w:hAnsi="仿宋_GB2312" w:cs="仿宋_GB2312" w:eastAsia="仿宋_GB2312"/>
                      <w:sz w:val="18"/>
                      <w:color w:val="000000"/>
                    </w:rPr>
                    <w:t>最大可抗风速不低于</w:t>
                  </w:r>
                  <w:r>
                    <w:rPr>
                      <w:rFonts w:ascii="仿宋_GB2312" w:hAnsi="仿宋_GB2312" w:cs="仿宋_GB2312" w:eastAsia="仿宋_GB2312"/>
                      <w:sz w:val="18"/>
                      <w:color w:val="000000"/>
                    </w:rPr>
                    <w:t>10米/秒；</w:t>
                  </w:r>
                </w:p>
                <w:p>
                  <w:pPr>
                    <w:pStyle w:val="null3"/>
                    <w:spacing w:before="90"/>
                    <w:ind w:firstLine="2"/>
                  </w:pPr>
                  <w:r>
                    <w:rPr>
                      <w:rFonts w:ascii="仿宋_GB2312" w:hAnsi="仿宋_GB2312" w:cs="仿宋_GB2312" w:eastAsia="仿宋_GB2312"/>
                      <w:sz w:val="18"/>
                      <w:color w:val="000000"/>
                    </w:rPr>
                    <w:t>▲最大信号有效距离(无干扰、无遮挡)不低于25千米；</w:t>
                  </w:r>
                </w:p>
                <w:p>
                  <w:pPr>
                    <w:pStyle w:val="null3"/>
                    <w:spacing w:before="90"/>
                    <w:ind w:firstLine="2"/>
                  </w:pPr>
                  <w:r>
                    <w:rPr>
                      <w:rFonts w:ascii="仿宋_GB2312" w:hAnsi="仿宋_GB2312" w:cs="仿宋_GB2312" w:eastAsia="仿宋_GB2312"/>
                      <w:sz w:val="18"/>
                      <w:color w:val="000000"/>
                    </w:rPr>
                    <w:t>红外热成像传感器分辨率不低于</w:t>
                  </w:r>
                  <w:r>
                    <w:rPr>
                      <w:rFonts w:ascii="仿宋_GB2312" w:hAnsi="仿宋_GB2312" w:cs="仿宋_GB2312" w:eastAsia="仿宋_GB2312"/>
                      <w:sz w:val="18"/>
                      <w:color w:val="000000"/>
                    </w:rPr>
                    <w:t>640x512；</w:t>
                  </w:r>
                </w:p>
                <w:p>
                  <w:pPr>
                    <w:pStyle w:val="null3"/>
                    <w:spacing w:before="90"/>
                    <w:ind w:firstLine="2"/>
                  </w:pPr>
                  <w:r>
                    <w:rPr>
                      <w:rFonts w:ascii="仿宋_GB2312" w:hAnsi="仿宋_GB2312" w:cs="仿宋_GB2312" w:eastAsia="仿宋_GB2312"/>
                      <w:sz w:val="18"/>
                      <w:color w:val="000000"/>
                    </w:rPr>
                    <w:t>红外热成像视频帧率不低于</w:t>
                  </w:r>
                  <w:r>
                    <w:rPr>
                      <w:rFonts w:ascii="仿宋_GB2312" w:hAnsi="仿宋_GB2312" w:cs="仿宋_GB2312" w:eastAsia="仿宋_GB2312"/>
                      <w:sz w:val="18"/>
                      <w:color w:val="000000"/>
                    </w:rPr>
                    <w:t>30Hz；</w:t>
                  </w:r>
                </w:p>
                <w:p>
                  <w:pPr>
                    <w:pStyle w:val="null3"/>
                    <w:spacing w:before="90"/>
                    <w:ind w:firstLine="2"/>
                  </w:pPr>
                  <w:r>
                    <w:rPr>
                      <w:rFonts w:ascii="仿宋_GB2312" w:hAnsi="仿宋_GB2312" w:cs="仿宋_GB2312" w:eastAsia="仿宋_GB2312"/>
                      <w:sz w:val="18"/>
                      <w:color w:val="000000"/>
                    </w:rPr>
                    <w:t>相机有效像素不低于</w:t>
                  </w:r>
                  <w:r>
                    <w:rPr>
                      <w:rFonts w:ascii="仿宋_GB2312" w:hAnsi="仿宋_GB2312" w:cs="仿宋_GB2312" w:eastAsia="仿宋_GB2312"/>
                      <w:sz w:val="18"/>
                      <w:color w:val="000000"/>
                    </w:rPr>
                    <w:t>4500万；</w:t>
                  </w:r>
                </w:p>
                <w:p>
                  <w:pPr>
                    <w:pStyle w:val="null3"/>
                    <w:spacing w:before="90"/>
                    <w:ind w:firstLine="2"/>
                  </w:pPr>
                  <w:r>
                    <w:rPr>
                      <w:rFonts w:ascii="仿宋_GB2312" w:hAnsi="仿宋_GB2312" w:cs="仿宋_GB2312" w:eastAsia="仿宋_GB2312"/>
                      <w:sz w:val="18"/>
                      <w:color w:val="000000"/>
                    </w:rPr>
                    <w:t>视频录制能力至少支持</w:t>
                  </w:r>
                  <w:r>
                    <w:rPr>
                      <w:rFonts w:ascii="仿宋_GB2312" w:hAnsi="仿宋_GB2312" w:cs="仿宋_GB2312" w:eastAsia="仿宋_GB2312"/>
                      <w:sz w:val="18"/>
                      <w:color w:val="000000"/>
                    </w:rPr>
                    <w:t>4K分辨率视频录制；</w:t>
                  </w:r>
                </w:p>
                <w:p>
                  <w:pPr>
                    <w:pStyle w:val="null3"/>
                    <w:spacing w:before="90"/>
                    <w:ind w:firstLine="2"/>
                  </w:pPr>
                  <w:r>
                    <w:rPr>
                      <w:rFonts w:ascii="仿宋_GB2312" w:hAnsi="仿宋_GB2312" w:cs="仿宋_GB2312" w:eastAsia="仿宋_GB2312"/>
                      <w:sz w:val="18"/>
                      <w:color w:val="000000"/>
                    </w:rPr>
                    <w:t>▲相机配置同时配备具有长焦可见光、中长焦可见光、广角可见光和红外热成像相机；</w:t>
                  </w:r>
                </w:p>
                <w:p>
                  <w:pPr>
                    <w:pStyle w:val="null3"/>
                    <w:spacing w:before="90"/>
                    <w:ind w:firstLine="2"/>
                  </w:pPr>
                  <w:r>
                    <w:rPr>
                      <w:rFonts w:ascii="仿宋_GB2312" w:hAnsi="仿宋_GB2312" w:cs="仿宋_GB2312" w:eastAsia="仿宋_GB2312"/>
                      <w:sz w:val="18"/>
                      <w:color w:val="000000"/>
                    </w:rPr>
                    <w:t>定位系统支持</w:t>
                  </w:r>
                  <w:r>
                    <w:rPr>
                      <w:rFonts w:ascii="仿宋_GB2312" w:hAnsi="仿宋_GB2312" w:cs="仿宋_GB2312" w:eastAsia="仿宋_GB2312"/>
                      <w:sz w:val="18"/>
                      <w:color w:val="000000"/>
                    </w:rPr>
                    <w:t>RTK高精度定位模块；</w:t>
                  </w:r>
                </w:p>
                <w:p>
                  <w:pPr>
                    <w:pStyle w:val="null3"/>
                    <w:spacing w:before="90"/>
                    <w:ind w:firstLine="2"/>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3种</w:t>
                  </w:r>
                  <w:r>
                    <w:rPr>
                      <w:rFonts w:ascii="仿宋_GB2312" w:hAnsi="仿宋_GB2312" w:cs="仿宋_GB2312" w:eastAsia="仿宋_GB2312"/>
                      <w:sz w:val="18"/>
                      <w:color w:val="000000"/>
                    </w:rPr>
                    <w:t>定位模式；</w:t>
                  </w:r>
                </w:p>
                <w:p>
                  <w:pPr>
                    <w:pStyle w:val="null3"/>
                    <w:spacing w:before="90"/>
                    <w:ind w:firstLine="2"/>
                  </w:pPr>
                  <w:r>
                    <w:rPr>
                      <w:rFonts w:ascii="仿宋_GB2312" w:hAnsi="仿宋_GB2312" w:cs="仿宋_GB2312" w:eastAsia="仿宋_GB2312"/>
                      <w:sz w:val="18"/>
                      <w:color w:val="000000"/>
                    </w:rPr>
                    <w:t>▲支持全向双目视觉避障系统，下方具备三维红外传感器，能够在探测到障碍物时在App上进行提醒，并自动减速刹车或绕行；</w:t>
                  </w:r>
                </w:p>
                <w:p>
                  <w:pPr>
                    <w:pStyle w:val="null3"/>
                    <w:spacing w:before="90"/>
                    <w:ind w:firstLine="2"/>
                  </w:pPr>
                  <w:r>
                    <w:rPr>
                      <w:rFonts w:ascii="仿宋_GB2312" w:hAnsi="仿宋_GB2312" w:cs="仿宋_GB2312" w:eastAsia="仿宋_GB2312"/>
                      <w:sz w:val="18"/>
                      <w:color w:val="000000"/>
                    </w:rPr>
                    <w:t>最大上升速度（配合机场）不小于</w:t>
                  </w:r>
                  <w:r>
                    <w:rPr>
                      <w:rFonts w:ascii="仿宋_GB2312" w:hAnsi="仿宋_GB2312" w:cs="仿宋_GB2312" w:eastAsia="仿宋_GB2312"/>
                      <w:sz w:val="18"/>
                      <w:color w:val="000000"/>
                    </w:rPr>
                    <w:t>6米/秒。</w:t>
                  </w:r>
                </w:p>
                <w:p>
                  <w:pPr>
                    <w:pStyle w:val="null3"/>
                    <w:spacing w:before="90"/>
                    <w:ind w:firstLine="2"/>
                  </w:pPr>
                  <w:r>
                    <w:rPr>
                      <w:rFonts w:ascii="仿宋_GB2312" w:hAnsi="仿宋_GB2312" w:cs="仿宋_GB2312" w:eastAsia="仿宋_GB2312"/>
                      <w:sz w:val="18"/>
                      <w:color w:val="000000"/>
                    </w:rPr>
                    <w:t>设备保险：除产品本身质量问题之外的意外情况保障，如日常使用磨损、意外碰撞损坏、设备进水带来的损失。保障部件包含机身、配套云台相机、桨叶飞机（对）</w:t>
                  </w:r>
                  <w:r>
                    <w:rPr>
                      <w:rFonts w:ascii="仿宋_GB2312" w:hAnsi="仿宋_GB2312" w:cs="仿宋_GB2312" w:eastAsia="仿宋_GB2312"/>
                      <w:sz w:val="18"/>
                      <w:color w:val="000000"/>
                    </w:rPr>
                    <w:t>*2，其他部件*1；保障额度内的免费置换，支持极速换新。含三年的保险。</w:t>
                  </w:r>
                </w:p>
                <w:p>
                  <w:pPr>
                    <w:pStyle w:val="null3"/>
                    <w:spacing w:before="90"/>
                    <w:ind w:firstLine="2"/>
                  </w:pPr>
                  <w:r>
                    <w:rPr>
                      <w:rFonts w:ascii="仿宋_GB2312" w:hAnsi="仿宋_GB2312" w:cs="仿宋_GB2312" w:eastAsia="仿宋_GB2312"/>
                      <w:sz w:val="18"/>
                      <w:color w:val="000000"/>
                    </w:rPr>
                    <w:t>三责险：第三者责任累计赔偿限额</w:t>
                  </w:r>
                  <w:r>
                    <w:rPr>
                      <w:rFonts w:ascii="仿宋_GB2312" w:hAnsi="仿宋_GB2312" w:cs="仿宋_GB2312" w:eastAsia="仿宋_GB2312"/>
                      <w:sz w:val="18"/>
                      <w:color w:val="000000"/>
                    </w:rPr>
                    <w:t>100万元，单次赔偿限额100万元，包括第三者人身伤亡、财产损失均可共享保障额度。含三年的保险</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right="45"/>
                    <w:jc w:val="center"/>
                  </w:pP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2</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2"/>
                  </w:pPr>
                  <w:r>
                    <w:rPr>
                      <w:rFonts w:ascii="仿宋_GB2312" w:hAnsi="仿宋_GB2312" w:cs="仿宋_GB2312" w:eastAsia="仿宋_GB2312"/>
                      <w:sz w:val="18"/>
                      <w:color w:val="000000"/>
                    </w:rPr>
                    <w:t>无人机旋翼数量：</w:t>
                  </w:r>
                  <w:r>
                    <w:rPr>
                      <w:rFonts w:ascii="仿宋_GB2312" w:hAnsi="仿宋_GB2312" w:cs="仿宋_GB2312" w:eastAsia="仿宋_GB2312"/>
                      <w:sz w:val="18"/>
                      <w:color w:val="000000"/>
                    </w:rPr>
                    <w:t>4个；</w:t>
                  </w:r>
                </w:p>
                <w:p>
                  <w:pPr>
                    <w:pStyle w:val="null3"/>
                    <w:spacing w:before="90"/>
                    <w:ind w:firstLine="2"/>
                  </w:pPr>
                  <w:r>
                    <w:rPr>
                      <w:rFonts w:ascii="仿宋_GB2312" w:hAnsi="仿宋_GB2312" w:cs="仿宋_GB2312" w:eastAsia="仿宋_GB2312"/>
                      <w:sz w:val="18"/>
                      <w:color w:val="000000"/>
                    </w:rPr>
                    <w:t>起飞重量</w:t>
                  </w:r>
                  <w:r>
                    <w:rPr>
                      <w:rFonts w:ascii="仿宋_GB2312" w:hAnsi="仿宋_GB2312" w:cs="仿宋_GB2312" w:eastAsia="仿宋_GB2312"/>
                      <w:sz w:val="18"/>
                      <w:color w:val="000000"/>
                    </w:rPr>
                    <w:t>(含电池)不大于10000克；</w:t>
                  </w:r>
                </w:p>
                <w:p>
                  <w:pPr>
                    <w:pStyle w:val="null3"/>
                    <w:spacing w:before="90"/>
                    <w:ind w:firstLine="2"/>
                  </w:pPr>
                  <w:r>
                    <w:rPr>
                      <w:rFonts w:ascii="仿宋_GB2312" w:hAnsi="仿宋_GB2312" w:cs="仿宋_GB2312" w:eastAsia="仿宋_GB2312"/>
                      <w:sz w:val="18"/>
                      <w:color w:val="000000"/>
                    </w:rPr>
                    <w:t>▲最大飞行时间不小于58分钟；</w:t>
                  </w:r>
                </w:p>
                <w:p>
                  <w:pPr>
                    <w:pStyle w:val="null3"/>
                    <w:spacing w:before="90"/>
                    <w:ind w:firstLine="2"/>
                  </w:pPr>
                  <w:r>
                    <w:rPr>
                      <w:rFonts w:ascii="仿宋_GB2312" w:hAnsi="仿宋_GB2312" w:cs="仿宋_GB2312" w:eastAsia="仿宋_GB2312"/>
                      <w:sz w:val="18"/>
                      <w:color w:val="000000"/>
                    </w:rPr>
                    <w:t>最大水平飞行速度不小于</w:t>
                  </w:r>
                  <w:r>
                    <w:rPr>
                      <w:rFonts w:ascii="仿宋_GB2312" w:hAnsi="仿宋_GB2312" w:cs="仿宋_GB2312" w:eastAsia="仿宋_GB2312"/>
                      <w:sz w:val="18"/>
                      <w:color w:val="000000"/>
                    </w:rPr>
                    <w:t>25米/秒；</w:t>
                  </w:r>
                </w:p>
                <w:p>
                  <w:pPr>
                    <w:pStyle w:val="null3"/>
                    <w:spacing w:before="90"/>
                    <w:ind w:firstLine="2"/>
                  </w:pPr>
                  <w:r>
                    <w:rPr>
                      <w:rFonts w:ascii="仿宋_GB2312" w:hAnsi="仿宋_GB2312" w:cs="仿宋_GB2312" w:eastAsia="仿宋_GB2312"/>
                      <w:sz w:val="18"/>
                      <w:color w:val="000000"/>
                    </w:rPr>
                    <w:t>最大可抗风速不低于</w:t>
                  </w:r>
                  <w:r>
                    <w:rPr>
                      <w:rFonts w:ascii="仿宋_GB2312" w:hAnsi="仿宋_GB2312" w:cs="仿宋_GB2312" w:eastAsia="仿宋_GB2312"/>
                      <w:sz w:val="18"/>
                      <w:color w:val="000000"/>
                    </w:rPr>
                    <w:t>10米/秒；</w:t>
                  </w:r>
                </w:p>
                <w:p>
                  <w:pPr>
                    <w:pStyle w:val="null3"/>
                    <w:spacing w:before="90"/>
                    <w:ind w:firstLine="2"/>
                  </w:pPr>
                  <w:r>
                    <w:rPr>
                      <w:rFonts w:ascii="仿宋_GB2312" w:hAnsi="仿宋_GB2312" w:cs="仿宋_GB2312" w:eastAsia="仿宋_GB2312"/>
                      <w:sz w:val="18"/>
                      <w:color w:val="000000"/>
                    </w:rPr>
                    <w:t>定位系统支持</w:t>
                  </w:r>
                  <w:r>
                    <w:rPr>
                      <w:rFonts w:ascii="仿宋_GB2312" w:hAnsi="仿宋_GB2312" w:cs="仿宋_GB2312" w:eastAsia="仿宋_GB2312"/>
                      <w:sz w:val="18"/>
                      <w:color w:val="000000"/>
                    </w:rPr>
                    <w:t>RTK高精度定位模块；</w:t>
                  </w:r>
                </w:p>
                <w:p>
                  <w:pPr>
                    <w:pStyle w:val="null3"/>
                    <w:spacing w:before="90"/>
                    <w:ind w:firstLine="2"/>
                  </w:pPr>
                  <w:r>
                    <w:rPr>
                      <w:rFonts w:ascii="仿宋_GB2312" w:hAnsi="仿宋_GB2312" w:cs="仿宋_GB2312" w:eastAsia="仿宋_GB2312"/>
                      <w:sz w:val="18"/>
                      <w:color w:val="000000"/>
                    </w:rPr>
                    <w:t>▲感知系统具备具备全向双目视觉模块；具备六向毫米波雷达模块；具备顶部环扫激光雷达模块；可实现白天及夜间避障；</w:t>
                  </w:r>
                </w:p>
                <w:p>
                  <w:pPr>
                    <w:pStyle w:val="null3"/>
                    <w:spacing w:before="90"/>
                    <w:ind w:firstLine="2"/>
                  </w:pPr>
                  <w:r>
                    <w:rPr>
                      <w:rFonts w:ascii="仿宋_GB2312" w:hAnsi="仿宋_GB2312" w:cs="仿宋_GB2312" w:eastAsia="仿宋_GB2312"/>
                      <w:sz w:val="18"/>
                      <w:color w:val="000000"/>
                    </w:rPr>
                    <w:t>最大上升速度不小于</w:t>
                  </w:r>
                  <w:r>
                    <w:rPr>
                      <w:rFonts w:ascii="仿宋_GB2312" w:hAnsi="仿宋_GB2312" w:cs="仿宋_GB2312" w:eastAsia="仿宋_GB2312"/>
                      <w:sz w:val="18"/>
                      <w:color w:val="000000"/>
                    </w:rPr>
                    <w:t>10米/秒；</w:t>
                  </w:r>
                </w:p>
                <w:p>
                  <w:pPr>
                    <w:pStyle w:val="null3"/>
                    <w:spacing w:before="90"/>
                    <w:ind w:firstLine="2"/>
                  </w:pPr>
                  <w:r>
                    <w:rPr>
                      <w:rFonts w:ascii="仿宋_GB2312" w:hAnsi="仿宋_GB2312" w:cs="仿宋_GB2312" w:eastAsia="仿宋_GB2312"/>
                      <w:sz w:val="18"/>
                      <w:color w:val="000000"/>
                    </w:rPr>
                    <w:t>工作环境温度：可在</w:t>
                  </w:r>
                  <w:r>
                    <w:rPr>
                      <w:rFonts w:ascii="仿宋_GB2312" w:hAnsi="仿宋_GB2312" w:cs="仿宋_GB2312" w:eastAsia="仿宋_GB2312"/>
                      <w:sz w:val="18"/>
                      <w:color w:val="000000"/>
                    </w:rPr>
                    <w:t>-20°C至50°C范围内正常工作；</w:t>
                  </w:r>
                </w:p>
                <w:p>
                  <w:pPr>
                    <w:pStyle w:val="null3"/>
                    <w:spacing w:before="90"/>
                    <w:ind w:firstLine="2"/>
                  </w:pPr>
                  <w:r>
                    <w:rPr>
                      <w:rFonts w:ascii="仿宋_GB2312" w:hAnsi="仿宋_GB2312" w:cs="仿宋_GB2312" w:eastAsia="仿宋_GB2312"/>
                      <w:sz w:val="18"/>
                      <w:color w:val="000000"/>
                    </w:rPr>
                    <w:t>最大信号有效距离（无干扰、无遮挡）：不小于</w:t>
                  </w:r>
                  <w:r>
                    <w:rPr>
                      <w:rFonts w:ascii="仿宋_GB2312" w:hAnsi="仿宋_GB2312" w:cs="仿宋_GB2312" w:eastAsia="仿宋_GB2312"/>
                      <w:sz w:val="18"/>
                      <w:color w:val="000000"/>
                    </w:rPr>
                    <w:t>40公里；</w:t>
                  </w:r>
                </w:p>
                <w:p>
                  <w:pPr>
                    <w:pStyle w:val="null3"/>
                    <w:spacing w:before="90"/>
                    <w:ind w:firstLine="2"/>
                  </w:pPr>
                  <w:r>
                    <w:rPr>
                      <w:rFonts w:ascii="仿宋_GB2312" w:hAnsi="仿宋_GB2312" w:cs="仿宋_GB2312" w:eastAsia="仿宋_GB2312"/>
                      <w:sz w:val="18"/>
                      <w:color w:val="000000"/>
                    </w:rPr>
                    <w:t>图传频段：支持双频通信；</w:t>
                  </w:r>
                </w:p>
                <w:p>
                  <w:pPr>
                    <w:pStyle w:val="null3"/>
                    <w:spacing w:before="90"/>
                    <w:ind w:firstLine="2"/>
                  </w:pPr>
                  <w:r>
                    <w:rPr>
                      <w:rFonts w:ascii="仿宋_GB2312" w:hAnsi="仿宋_GB2312" w:cs="仿宋_GB2312" w:eastAsia="仿宋_GB2312"/>
                      <w:sz w:val="18"/>
                      <w:color w:val="000000"/>
                    </w:rPr>
                    <w:t>支持不少于</w:t>
                  </w:r>
                  <w:r>
                    <w:rPr>
                      <w:rFonts w:ascii="仿宋_GB2312" w:hAnsi="仿宋_GB2312" w:cs="仿宋_GB2312" w:eastAsia="仿宋_GB2312"/>
                      <w:sz w:val="18"/>
                      <w:color w:val="000000"/>
                    </w:rPr>
                    <w:t>3种</w:t>
                  </w:r>
                  <w:r>
                    <w:rPr>
                      <w:rFonts w:ascii="仿宋_GB2312" w:hAnsi="仿宋_GB2312" w:cs="仿宋_GB2312" w:eastAsia="仿宋_GB2312"/>
                      <w:sz w:val="18"/>
                      <w:color w:val="000000"/>
                    </w:rPr>
                    <w:t>定位系统；</w:t>
                  </w:r>
                </w:p>
                <w:p>
                  <w:pPr>
                    <w:pStyle w:val="null3"/>
                    <w:spacing w:before="90"/>
                    <w:ind w:firstLine="2"/>
                  </w:pPr>
                  <w:r>
                    <w:rPr>
                      <w:rFonts w:ascii="仿宋_GB2312" w:hAnsi="仿宋_GB2312" w:cs="仿宋_GB2312" w:eastAsia="仿宋_GB2312"/>
                      <w:sz w:val="18"/>
                      <w:color w:val="000000"/>
                    </w:rPr>
                    <w:t>避障性能：</w:t>
                  </w:r>
                  <w:r>
                    <w:rPr>
                      <w:rFonts w:ascii="仿宋_GB2312" w:hAnsi="仿宋_GB2312" w:cs="仿宋_GB2312" w:eastAsia="仿宋_GB2312"/>
                      <w:sz w:val="18"/>
                      <w:color w:val="000000"/>
                    </w:rPr>
                    <w:t>≥25 米/秒速度飞行，当探测到前方电线等障碍物，应能自动刹停避开障碍物；</w:t>
                  </w:r>
                </w:p>
                <w:p>
                  <w:pPr>
                    <w:pStyle w:val="null3"/>
                    <w:spacing w:before="90"/>
                    <w:ind w:firstLine="2"/>
                  </w:pPr>
                  <w:r>
                    <w:rPr>
                      <w:rFonts w:ascii="仿宋_GB2312" w:hAnsi="仿宋_GB2312" w:cs="仿宋_GB2312" w:eastAsia="仿宋_GB2312"/>
                      <w:sz w:val="18"/>
                      <w:color w:val="000000"/>
                    </w:rPr>
                    <w:t>安全功能：具备低电量自动返航和信号丢失自动返航功能；</w:t>
                  </w:r>
                </w:p>
                <w:p>
                  <w:pPr>
                    <w:pStyle w:val="null3"/>
                    <w:spacing w:before="90"/>
                    <w:ind w:firstLine="2"/>
                  </w:pPr>
                  <w:r>
                    <w:rPr>
                      <w:rFonts w:ascii="仿宋_GB2312" w:hAnsi="仿宋_GB2312" w:cs="仿宋_GB2312" w:eastAsia="仿宋_GB2312"/>
                      <w:sz w:val="18"/>
                      <w:color w:val="000000"/>
                    </w:rPr>
                    <w:t>设备保险：除产品本身质量问题之外的意外情况保障，如日常使用磨损、意外碰撞损坏、设备进水带来的损失。保障部件包含机身、配套云台相机、桨叶飞机（对）</w:t>
                  </w:r>
                  <w:r>
                    <w:rPr>
                      <w:rFonts w:ascii="仿宋_GB2312" w:hAnsi="仿宋_GB2312" w:cs="仿宋_GB2312" w:eastAsia="仿宋_GB2312"/>
                      <w:sz w:val="18"/>
                      <w:color w:val="000000"/>
                    </w:rPr>
                    <w:t>*2，其他部件*1；保障额度内的免费置换，支持极速换新。含三年的保险。</w:t>
                  </w:r>
                </w:p>
                <w:p>
                  <w:pPr>
                    <w:pStyle w:val="null3"/>
                    <w:spacing w:before="90"/>
                    <w:ind w:firstLine="2"/>
                  </w:pPr>
                  <w:r>
                    <w:rPr>
                      <w:rFonts w:ascii="仿宋_GB2312" w:hAnsi="仿宋_GB2312" w:cs="仿宋_GB2312" w:eastAsia="仿宋_GB2312"/>
                      <w:sz w:val="18"/>
                      <w:color w:val="000000"/>
                    </w:rPr>
                    <w:t>三责险：第三者责任累计赔偿限额</w:t>
                  </w:r>
                  <w:r>
                    <w:rPr>
                      <w:rFonts w:ascii="仿宋_GB2312" w:hAnsi="仿宋_GB2312" w:cs="仿宋_GB2312" w:eastAsia="仿宋_GB2312"/>
                      <w:sz w:val="18"/>
                      <w:color w:val="000000"/>
                    </w:rPr>
                    <w:t>100万元，单次赔偿限额100万元，包括第三者人身伤亡、财产损失均可共享保障额度。含三年的保险。</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18"/>
                      <w:color w:val="000000"/>
                    </w:rPr>
                    <w:t>探照灯</w:t>
                  </w:r>
                  <w:r>
                    <w:rPr>
                      <w:rFonts w:ascii="仿宋_GB2312" w:hAnsi="仿宋_GB2312" w:cs="仿宋_GB2312" w:eastAsia="仿宋_GB2312"/>
                      <w:sz w:val="18"/>
                      <w:color w:val="000000"/>
                    </w:rPr>
                    <w:t>1</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jc w:val="center"/>
                  </w:pPr>
                  <w:r>
                    <w:rPr>
                      <w:rFonts w:ascii="仿宋_GB2312" w:hAnsi="仿宋_GB2312" w:cs="仿宋_GB2312" w:eastAsia="仿宋_GB2312"/>
                      <w:sz w:val="18"/>
                      <w:color w:val="000000"/>
                    </w:rPr>
                    <w:t>5</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2"/>
                  </w:pPr>
                  <w:r>
                    <w:rPr>
                      <w:rFonts w:ascii="仿宋_GB2312" w:hAnsi="仿宋_GB2312" w:cs="仿宋_GB2312" w:eastAsia="仿宋_GB2312"/>
                      <w:sz w:val="18"/>
                      <w:color w:val="000000"/>
                    </w:rPr>
                    <w:t>重量：含安装支架总重量不大于</w:t>
                  </w:r>
                  <w:r>
                    <w:rPr>
                      <w:rFonts w:ascii="仿宋_GB2312" w:hAnsi="仿宋_GB2312" w:cs="仿宋_GB2312" w:eastAsia="仿宋_GB2312"/>
                      <w:sz w:val="18"/>
                      <w:color w:val="000000"/>
                    </w:rPr>
                    <w:t>110克；</w:t>
                  </w:r>
                </w:p>
                <w:p>
                  <w:pPr>
                    <w:pStyle w:val="null3"/>
                    <w:spacing w:before="90"/>
                    <w:ind w:firstLine="2"/>
                  </w:pPr>
                  <w:r>
                    <w:rPr>
                      <w:rFonts w:ascii="仿宋_GB2312" w:hAnsi="仿宋_GB2312" w:cs="仿宋_GB2312" w:eastAsia="仿宋_GB2312"/>
                      <w:sz w:val="18"/>
                      <w:color w:val="000000"/>
                    </w:rPr>
                    <w:t>最大功耗：不低于</w:t>
                  </w:r>
                  <w:r>
                    <w:rPr>
                      <w:rFonts w:ascii="仿宋_GB2312" w:hAnsi="仿宋_GB2312" w:cs="仿宋_GB2312" w:eastAsia="仿宋_GB2312"/>
                      <w:sz w:val="18"/>
                      <w:color w:val="000000"/>
                    </w:rPr>
                    <w:t>32瓦</w:t>
                  </w:r>
                </w:p>
                <w:p>
                  <w:pPr>
                    <w:pStyle w:val="null3"/>
                    <w:spacing w:before="90"/>
                    <w:ind w:firstLine="2"/>
                  </w:pPr>
                  <w:r>
                    <w:rPr>
                      <w:rFonts w:ascii="仿宋_GB2312" w:hAnsi="仿宋_GB2312" w:cs="仿宋_GB2312" w:eastAsia="仿宋_GB2312"/>
                      <w:sz w:val="18"/>
                      <w:color w:val="000000"/>
                    </w:rPr>
                    <w:t>照度：在</w:t>
                  </w:r>
                  <w:r>
                    <w:rPr>
                      <w:rFonts w:ascii="仿宋_GB2312" w:hAnsi="仿宋_GB2312" w:cs="仿宋_GB2312" w:eastAsia="仿宋_GB2312"/>
                      <w:sz w:val="18"/>
                      <w:color w:val="000000"/>
                    </w:rPr>
                    <w:t>50米距离处，中心照度不低于16勒克斯；在100米距离处，中心照度不低于3勒克斯；</w:t>
                  </w:r>
                </w:p>
                <w:p>
                  <w:pPr>
                    <w:pStyle w:val="null3"/>
                    <w:spacing w:before="90"/>
                    <w:ind w:firstLine="2"/>
                  </w:pPr>
                  <w:r>
                    <w:rPr>
                      <w:rFonts w:ascii="仿宋_GB2312" w:hAnsi="仿宋_GB2312" w:cs="仿宋_GB2312" w:eastAsia="仿宋_GB2312"/>
                      <w:sz w:val="18"/>
                      <w:color w:val="000000"/>
                    </w:rPr>
                    <w:t>有效照明角度：在</w:t>
                  </w:r>
                  <w:r>
                    <w:rPr>
                      <w:rFonts w:ascii="仿宋_GB2312" w:hAnsi="仿宋_GB2312" w:cs="仿宋_GB2312" w:eastAsia="仿宋_GB2312"/>
                      <w:sz w:val="18"/>
                      <w:color w:val="000000"/>
                    </w:rPr>
                    <w:t>10%相对照度下，光束角不低于20°；</w:t>
                  </w:r>
                </w:p>
                <w:p>
                  <w:pPr>
                    <w:pStyle w:val="null3"/>
                    <w:spacing w:before="90"/>
                    <w:ind w:firstLine="2"/>
                  </w:pPr>
                  <w:r>
                    <w:rPr>
                      <w:rFonts w:ascii="仿宋_GB2312" w:hAnsi="仿宋_GB2312" w:cs="仿宋_GB2312" w:eastAsia="仿宋_GB2312"/>
                      <w:sz w:val="18"/>
                      <w:color w:val="000000"/>
                    </w:rPr>
                    <w:t>有效照明面积：在</w:t>
                  </w:r>
                  <w:r>
                    <w:rPr>
                      <w:rFonts w:ascii="仿宋_GB2312" w:hAnsi="仿宋_GB2312" w:cs="仿宋_GB2312" w:eastAsia="仿宋_GB2312"/>
                      <w:sz w:val="18"/>
                      <w:color w:val="000000"/>
                    </w:rPr>
                    <w:t>100米距离、10%相对照度下，照明面积不低于1100平方米；</w:t>
                  </w:r>
                </w:p>
                <w:p>
                  <w:pPr>
                    <w:pStyle w:val="null3"/>
                    <w:spacing w:before="90"/>
                    <w:ind w:firstLine="2"/>
                  </w:pPr>
                  <w:r>
                    <w:rPr>
                      <w:rFonts w:ascii="仿宋_GB2312" w:hAnsi="仿宋_GB2312" w:cs="仿宋_GB2312" w:eastAsia="仿宋_GB2312"/>
                      <w:sz w:val="18"/>
                      <w:color w:val="000000"/>
                    </w:rPr>
                    <w:t>工作模式：具备至少一种：常亮或爆闪照明模式；</w:t>
                  </w:r>
                </w:p>
                <w:p>
                  <w:pPr>
                    <w:pStyle w:val="null3"/>
                    <w:spacing w:before="90"/>
                    <w:ind w:firstLine="2"/>
                  </w:pPr>
                  <w:r>
                    <w:rPr>
                      <w:rFonts w:ascii="仿宋_GB2312" w:hAnsi="仿宋_GB2312" w:cs="仿宋_GB2312" w:eastAsia="仿宋_GB2312"/>
                      <w:sz w:val="18"/>
                      <w:color w:val="000000"/>
                    </w:rPr>
                    <w:t>工作环境温度：可在</w:t>
                  </w:r>
                  <w:r>
                    <w:rPr>
                      <w:rFonts w:ascii="仿宋_GB2312" w:hAnsi="仿宋_GB2312" w:cs="仿宋_GB2312" w:eastAsia="仿宋_GB2312"/>
                      <w:sz w:val="18"/>
                      <w:color w:val="000000"/>
                    </w:rPr>
                    <w:t>-:20℃至50℃范围内正常工作；</w:t>
                  </w:r>
                </w:p>
                <w:p>
                  <w:pPr>
                    <w:pStyle w:val="null3"/>
                    <w:spacing w:before="90"/>
                    <w:ind w:firstLine="2"/>
                  </w:pP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IP55；</w:t>
                  </w:r>
                </w:p>
                <w:p>
                  <w:pPr>
                    <w:pStyle w:val="null3"/>
                    <w:spacing w:before="90"/>
                    <w:ind w:firstLine="2"/>
                  </w:pPr>
                  <w:r>
                    <w:rPr>
                      <w:rFonts w:ascii="仿宋_GB2312" w:hAnsi="仿宋_GB2312" w:cs="仿宋_GB2312" w:eastAsia="仿宋_GB2312"/>
                      <w:sz w:val="18"/>
                      <w:color w:val="000000"/>
                    </w:rPr>
                    <w:t>安装方式：采用手拧螺丝或快拆结构，无需工具即可完成拆装；</w:t>
                  </w:r>
                </w:p>
                <w:p>
                  <w:pPr>
                    <w:pStyle w:val="null3"/>
                    <w:spacing w:before="90"/>
                    <w:ind w:firstLine="2"/>
                  </w:pPr>
                  <w:r>
                    <w:rPr>
                      <w:rFonts w:ascii="仿宋_GB2312" w:hAnsi="仿宋_GB2312" w:cs="仿宋_GB2312" w:eastAsia="仿宋_GB2312"/>
                      <w:sz w:val="18"/>
                      <w:color w:val="000000"/>
                    </w:rPr>
                    <w:t>供应商提供的探照灯</w:t>
                  </w:r>
                  <w:r>
                    <w:rPr>
                      <w:rFonts w:ascii="仿宋_GB2312" w:hAnsi="仿宋_GB2312" w:cs="仿宋_GB2312" w:eastAsia="仿宋_GB2312"/>
                      <w:sz w:val="18"/>
                      <w:color w:val="000000"/>
                    </w:rPr>
                    <w:t>1需作为负载安装在无人机上1，因此应与无人机1具备良好的兼容性和适配性</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pPr>
                  <w:r>
                    <w:rPr>
                      <w:rFonts w:ascii="仿宋_GB2312" w:hAnsi="仿宋_GB2312" w:cs="仿宋_GB2312" w:eastAsia="仿宋_GB2312"/>
                      <w:sz w:val="18"/>
                      <w:color w:val="000000"/>
                    </w:rPr>
                    <w:t>喊话器</w:t>
                  </w:r>
                  <w:r>
                    <w:rPr>
                      <w:rFonts w:ascii="仿宋_GB2312" w:hAnsi="仿宋_GB2312" w:cs="仿宋_GB2312" w:eastAsia="仿宋_GB2312"/>
                      <w:sz w:val="18"/>
                      <w:color w:val="000000"/>
                    </w:rPr>
                    <w:t>1</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80"/>
                    <w:jc w:val="left"/>
                  </w:pPr>
                  <w:r>
                    <w:rPr>
                      <w:rFonts w:ascii="仿宋_GB2312" w:hAnsi="仿宋_GB2312" w:cs="仿宋_GB2312" w:eastAsia="仿宋_GB2312"/>
                      <w:sz w:val="18"/>
                      <w:color w:val="000000"/>
                    </w:rPr>
                    <w:t>5</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重量：含安装支架总重量不大于</w:t>
                  </w:r>
                  <w:r>
                    <w:rPr>
                      <w:rFonts w:ascii="仿宋_GB2312" w:hAnsi="仿宋_GB2312" w:cs="仿宋_GB2312" w:eastAsia="仿宋_GB2312"/>
                      <w:sz w:val="18"/>
                      <w:color w:val="000000"/>
                    </w:rPr>
                    <w:t>100克；</w:t>
                  </w:r>
                </w:p>
                <w:p>
                  <w:pPr>
                    <w:pStyle w:val="null3"/>
                    <w:spacing w:before="75"/>
                    <w:ind w:left="15"/>
                  </w:pPr>
                  <w:r>
                    <w:rPr>
                      <w:rFonts w:ascii="仿宋_GB2312" w:hAnsi="仿宋_GB2312" w:cs="仿宋_GB2312" w:eastAsia="仿宋_GB2312"/>
                      <w:sz w:val="18"/>
                      <w:color w:val="000000"/>
                    </w:rPr>
                    <w:t>最大功耗：不低于</w:t>
                  </w:r>
                  <w:r>
                    <w:rPr>
                      <w:rFonts w:ascii="仿宋_GB2312" w:hAnsi="仿宋_GB2312" w:cs="仿宋_GB2312" w:eastAsia="仿宋_GB2312"/>
                      <w:sz w:val="18"/>
                      <w:color w:val="000000"/>
                    </w:rPr>
                    <w:t>15瓦；</w:t>
                  </w:r>
                </w:p>
                <w:p>
                  <w:pPr>
                    <w:pStyle w:val="null3"/>
                    <w:spacing w:before="75"/>
                    <w:ind w:left="15"/>
                  </w:pPr>
                  <w:r>
                    <w:rPr>
                      <w:rFonts w:ascii="仿宋_GB2312" w:hAnsi="仿宋_GB2312" w:cs="仿宋_GB2312" w:eastAsia="仿宋_GB2312"/>
                      <w:sz w:val="18"/>
                      <w:color w:val="000000"/>
                    </w:rPr>
                    <w:t>输出响度：在轴向</w:t>
                  </w:r>
                  <w:r>
                    <w:rPr>
                      <w:rFonts w:ascii="仿宋_GB2312" w:hAnsi="仿宋_GB2312" w:cs="仿宋_GB2312" w:eastAsia="仿宋_GB2312"/>
                      <w:sz w:val="18"/>
                      <w:color w:val="000000"/>
                    </w:rPr>
                    <w:t>1米距离处测得的最大声压级不低于110分贝；</w:t>
                  </w:r>
                </w:p>
                <w:p>
                  <w:pPr>
                    <w:pStyle w:val="null3"/>
                    <w:spacing w:before="75"/>
                    <w:ind w:left="15"/>
                  </w:pPr>
                  <w:r>
                    <w:rPr>
                      <w:rFonts w:ascii="仿宋_GB2312" w:hAnsi="仿宋_GB2312" w:cs="仿宋_GB2312" w:eastAsia="仿宋_GB2312"/>
                      <w:sz w:val="18"/>
                      <w:color w:val="000000"/>
                    </w:rPr>
                    <w:t>广播距离：在环境噪声下，语音清晰可辨的距离不低于</w:t>
                  </w:r>
                  <w:r>
                    <w:rPr>
                      <w:rFonts w:ascii="仿宋_GB2312" w:hAnsi="仿宋_GB2312" w:cs="仿宋_GB2312" w:eastAsia="仿宋_GB2312"/>
                      <w:sz w:val="18"/>
                      <w:color w:val="000000"/>
                    </w:rPr>
                    <w:t>300米；</w:t>
                  </w:r>
                </w:p>
                <w:p>
                  <w:pPr>
                    <w:pStyle w:val="null3"/>
                    <w:spacing w:before="75"/>
                    <w:ind w:left="15"/>
                  </w:pPr>
                  <w:r>
                    <w:rPr>
                      <w:rFonts w:ascii="仿宋_GB2312" w:hAnsi="仿宋_GB2312" w:cs="仿宋_GB2312" w:eastAsia="仿宋_GB2312"/>
                      <w:sz w:val="18"/>
                      <w:color w:val="000000"/>
                    </w:rPr>
                    <w:t>工作环境温度：可在</w:t>
                  </w:r>
                  <w:r>
                    <w:rPr>
                      <w:rFonts w:ascii="仿宋_GB2312" w:hAnsi="仿宋_GB2312" w:cs="仿宋_GB2312" w:eastAsia="仿宋_GB2312"/>
                      <w:sz w:val="18"/>
                      <w:color w:val="000000"/>
                    </w:rPr>
                    <w:t>-20℃至50℃范围内正常工作；</w:t>
                  </w:r>
                </w:p>
                <w:p>
                  <w:pPr>
                    <w:pStyle w:val="null3"/>
                    <w:spacing w:before="75"/>
                    <w:ind w:left="15"/>
                  </w:pPr>
                  <w:r>
                    <w:rPr>
                      <w:rFonts w:ascii="仿宋_GB2312" w:hAnsi="仿宋_GB2312" w:cs="仿宋_GB2312" w:eastAsia="仿宋_GB2312"/>
                      <w:sz w:val="18"/>
                      <w:color w:val="000000"/>
                    </w:rPr>
                    <w:t>安装方式：采用手拧螺丝或快拆结构，无需工具即可完成拆装；</w:t>
                  </w:r>
                </w:p>
                <w:p>
                  <w:pPr>
                    <w:pStyle w:val="null3"/>
                    <w:spacing w:before="75"/>
                    <w:ind w:left="15"/>
                  </w:pPr>
                  <w:r>
                    <w:rPr>
                      <w:rFonts w:ascii="仿宋_GB2312" w:hAnsi="仿宋_GB2312" w:cs="仿宋_GB2312" w:eastAsia="仿宋_GB2312"/>
                      <w:sz w:val="18"/>
                      <w:color w:val="000000"/>
                    </w:rPr>
                    <w:t>供应商提供的喊话器</w:t>
                  </w:r>
                  <w:r>
                    <w:rPr>
                      <w:rFonts w:ascii="仿宋_GB2312" w:hAnsi="仿宋_GB2312" w:cs="仿宋_GB2312" w:eastAsia="仿宋_GB2312"/>
                      <w:sz w:val="18"/>
                      <w:color w:val="000000"/>
                    </w:rPr>
                    <w:t>1需作为负载安装在无人机上1，因此应与无人机1具备良好的兼容性和适配性</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r>
                    <w:rPr>
                      <w:rFonts w:ascii="仿宋_GB2312" w:hAnsi="仿宋_GB2312" w:cs="仿宋_GB2312" w:eastAsia="仿宋_GB2312"/>
                      <w:sz w:val="18"/>
                      <w:color w:val="000000"/>
                    </w:rPr>
                    <w:t>探照灯</w:t>
                  </w:r>
                  <w:r>
                    <w:rPr>
                      <w:rFonts w:ascii="仿宋_GB2312" w:hAnsi="仿宋_GB2312" w:cs="仿宋_GB2312" w:eastAsia="仿宋_GB2312"/>
                      <w:sz w:val="18"/>
                      <w:color w:val="000000"/>
                    </w:rPr>
                    <w:t>2</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≤800g</w:t>
                  </w:r>
                </w:p>
                <w:p>
                  <w:pPr>
                    <w:pStyle w:val="null3"/>
                    <w:spacing w:before="75"/>
                    <w:ind w:left="15"/>
                  </w:pPr>
                  <w:r>
                    <w:rPr>
                      <w:rFonts w:ascii="仿宋_GB2312" w:hAnsi="仿宋_GB2312" w:cs="仿宋_GB2312" w:eastAsia="仿宋_GB2312"/>
                      <w:sz w:val="18"/>
                      <w:color w:val="000000"/>
                    </w:rPr>
                    <w:t>云台：可以控制探照灯进行俯仰、横滚和平移运动；</w:t>
                  </w:r>
                </w:p>
                <w:p>
                  <w:pPr>
                    <w:pStyle w:val="null3"/>
                    <w:spacing w:before="75"/>
                    <w:ind w:left="15"/>
                  </w:pP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≥IP54</w:t>
                  </w:r>
                </w:p>
                <w:p>
                  <w:pPr>
                    <w:pStyle w:val="null3"/>
                    <w:spacing w:before="75"/>
                    <w:ind w:left="15"/>
                  </w:pP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 至 40℃</w:t>
                  </w:r>
                </w:p>
                <w:p>
                  <w:pPr>
                    <w:pStyle w:val="null3"/>
                    <w:spacing w:before="75"/>
                    <w:ind w:left="15"/>
                  </w:pPr>
                  <w:r>
                    <w:rPr>
                      <w:rFonts w:ascii="仿宋_GB2312" w:hAnsi="仿宋_GB2312" w:cs="仿宋_GB2312" w:eastAsia="仿宋_GB2312"/>
                      <w:sz w:val="18"/>
                      <w:color w:val="000000"/>
                    </w:rPr>
                    <w:t>最高中心照度</w:t>
                  </w:r>
                  <w:r>
                    <w:rPr>
                      <w:rFonts w:ascii="仿宋_GB2312" w:hAnsi="仿宋_GB2312" w:cs="仿宋_GB2312" w:eastAsia="仿宋_GB2312"/>
                      <w:sz w:val="18"/>
                      <w:color w:val="000000"/>
                    </w:rPr>
                    <w:t>：距离探照灯</w:t>
                  </w:r>
                  <w:r>
                    <w:rPr>
                      <w:rFonts w:ascii="仿宋_GB2312" w:hAnsi="仿宋_GB2312" w:cs="仿宋_GB2312" w:eastAsia="仿宋_GB2312"/>
                      <w:sz w:val="18"/>
                      <w:color w:val="000000"/>
                    </w:rPr>
                    <w:t>100m处，照度≥40 lux</w:t>
                  </w:r>
                </w:p>
                <w:p>
                  <w:pPr>
                    <w:pStyle w:val="null3"/>
                    <w:spacing w:before="75"/>
                    <w:ind w:left="15"/>
                  </w:pPr>
                  <w:r>
                    <w:rPr>
                      <w:rFonts w:ascii="仿宋_GB2312" w:hAnsi="仿宋_GB2312" w:cs="仿宋_GB2312" w:eastAsia="仿宋_GB2312"/>
                      <w:sz w:val="18"/>
                      <w:color w:val="000000"/>
                    </w:rPr>
                    <w:t>近光中心照度</w:t>
                  </w:r>
                  <w:r>
                    <w:rPr>
                      <w:rFonts w:ascii="仿宋_GB2312" w:hAnsi="仿宋_GB2312" w:cs="仿宋_GB2312" w:eastAsia="仿宋_GB2312"/>
                      <w:sz w:val="18"/>
                      <w:color w:val="000000"/>
                    </w:rPr>
                    <w:t>：距离探照灯</w:t>
                  </w:r>
                  <w:r>
                    <w:rPr>
                      <w:rFonts w:ascii="仿宋_GB2312" w:hAnsi="仿宋_GB2312" w:cs="仿宋_GB2312" w:eastAsia="仿宋_GB2312"/>
                      <w:sz w:val="18"/>
                      <w:color w:val="000000"/>
                    </w:rPr>
                    <w:t>100m处，照度≥20 lux</w:t>
                  </w:r>
                </w:p>
                <w:p>
                  <w:pPr>
                    <w:pStyle w:val="null3"/>
                    <w:spacing w:before="75"/>
                    <w:ind w:left="15"/>
                  </w:pPr>
                  <w:r>
                    <w:rPr>
                      <w:rFonts w:ascii="仿宋_GB2312" w:hAnsi="仿宋_GB2312" w:cs="仿宋_GB2312" w:eastAsia="仿宋_GB2312"/>
                      <w:sz w:val="18"/>
                      <w:color w:val="000000"/>
                    </w:rPr>
                    <w:t>远光中心照度</w:t>
                  </w:r>
                  <w:r>
                    <w:rPr>
                      <w:rFonts w:ascii="仿宋_GB2312" w:hAnsi="仿宋_GB2312" w:cs="仿宋_GB2312" w:eastAsia="仿宋_GB2312"/>
                      <w:sz w:val="18"/>
                      <w:color w:val="000000"/>
                    </w:rPr>
                    <w:t>：距离探照灯</w:t>
                  </w:r>
                  <w:r>
                    <w:rPr>
                      <w:rFonts w:ascii="仿宋_GB2312" w:hAnsi="仿宋_GB2312" w:cs="仿宋_GB2312" w:eastAsia="仿宋_GB2312"/>
                      <w:sz w:val="18"/>
                      <w:color w:val="000000"/>
                    </w:rPr>
                    <w:t>100m处，照度≥30 lux</w:t>
                  </w:r>
                </w:p>
                <w:p>
                  <w:pPr>
                    <w:pStyle w:val="null3"/>
                    <w:spacing w:before="75"/>
                    <w:ind w:left="15"/>
                  </w:pPr>
                  <w:r>
                    <w:rPr>
                      <w:rFonts w:ascii="仿宋_GB2312" w:hAnsi="仿宋_GB2312" w:cs="仿宋_GB2312" w:eastAsia="仿宋_GB2312"/>
                      <w:sz w:val="18"/>
                      <w:color w:val="000000"/>
                    </w:rPr>
                    <w:t>有效探照距离</w:t>
                  </w:r>
                  <w:r>
                    <w:rPr>
                      <w:rFonts w:ascii="仿宋_GB2312" w:hAnsi="仿宋_GB2312" w:cs="仿宋_GB2312" w:eastAsia="仿宋_GB2312"/>
                      <w:sz w:val="18"/>
                      <w:color w:val="000000"/>
                    </w:rPr>
                    <w:t>：</w:t>
                  </w:r>
                  <w:r>
                    <w:rPr>
                      <w:rFonts w:ascii="仿宋_GB2312" w:hAnsi="仿宋_GB2312" w:cs="仿宋_GB2312" w:eastAsia="仿宋_GB2312"/>
                      <w:sz w:val="18"/>
                      <w:color w:val="000000"/>
                    </w:rPr>
                    <w:t>≥500 米（距离探照灯500m处的光照度应不低于2 lux）</w:t>
                  </w:r>
                </w:p>
                <w:p>
                  <w:pPr>
                    <w:pStyle w:val="null3"/>
                    <w:spacing w:before="75"/>
                    <w:ind w:left="15"/>
                  </w:pPr>
                  <w:r>
                    <w:rPr>
                      <w:rFonts w:ascii="仿宋_GB2312" w:hAnsi="仿宋_GB2312" w:cs="仿宋_GB2312" w:eastAsia="仿宋_GB2312"/>
                      <w:sz w:val="18"/>
                      <w:color w:val="000000"/>
                    </w:rPr>
                    <w:t>灯光控制：支持开关、亮度调节</w:t>
                  </w:r>
                </w:p>
                <w:p>
                  <w:pPr>
                    <w:pStyle w:val="null3"/>
                    <w:spacing w:before="75"/>
                    <w:ind w:left="15"/>
                  </w:pPr>
                  <w:r>
                    <w:rPr>
                      <w:rFonts w:ascii="仿宋_GB2312" w:hAnsi="仿宋_GB2312" w:cs="仿宋_GB2312" w:eastAsia="仿宋_GB2312"/>
                      <w:sz w:val="18"/>
                      <w:color w:val="000000"/>
                    </w:rPr>
                    <w:t>爆闪模式：支持爆闪模式、常亮模式</w:t>
                  </w:r>
                </w:p>
                <w:p>
                  <w:pPr>
                    <w:pStyle w:val="null3"/>
                    <w:spacing w:before="75"/>
                    <w:ind w:left="15"/>
                  </w:pPr>
                  <w:r>
                    <w:rPr>
                      <w:rFonts w:ascii="仿宋_GB2312" w:hAnsi="仿宋_GB2312" w:cs="仿宋_GB2312" w:eastAsia="仿宋_GB2312"/>
                      <w:sz w:val="18"/>
                      <w:color w:val="000000"/>
                    </w:rPr>
                    <w:t>灯光模式：支持近光模式、远光模式、全开模式</w:t>
                  </w:r>
                </w:p>
                <w:p>
                  <w:pPr>
                    <w:pStyle w:val="null3"/>
                    <w:spacing w:before="75"/>
                    <w:ind w:left="15"/>
                  </w:pPr>
                  <w:r>
                    <w:rPr>
                      <w:rFonts w:ascii="仿宋_GB2312" w:hAnsi="仿宋_GB2312" w:cs="仿宋_GB2312" w:eastAsia="仿宋_GB2312"/>
                      <w:sz w:val="18"/>
                      <w:color w:val="000000"/>
                    </w:rPr>
                    <w:t>按键映射：支持通过遥控快捷键映射开关灯</w:t>
                  </w:r>
                  <w:r>
                    <w:rPr>
                      <w:rFonts w:ascii="仿宋_GB2312" w:hAnsi="仿宋_GB2312" w:cs="仿宋_GB2312" w:eastAsia="仿宋_GB2312"/>
                      <w:sz w:val="18"/>
                      <w:color w:val="000000"/>
                    </w:rPr>
                    <w:t>/ 亮度调节 / 照明模式切换</w:t>
                  </w:r>
                </w:p>
                <w:p>
                  <w:pPr>
                    <w:pStyle w:val="null3"/>
                    <w:spacing w:before="75"/>
                    <w:ind w:left="15"/>
                  </w:pPr>
                  <w:r>
                    <w:rPr>
                      <w:rFonts w:ascii="仿宋_GB2312" w:hAnsi="仿宋_GB2312" w:cs="仿宋_GB2312" w:eastAsia="仿宋_GB2312"/>
                      <w:sz w:val="18"/>
                      <w:color w:val="000000"/>
                    </w:rPr>
                    <w:t>云台联动：支持与其它云台类负载实现联动控制</w:t>
                  </w:r>
                </w:p>
                <w:p>
                  <w:pPr>
                    <w:pStyle w:val="null3"/>
                    <w:spacing w:before="75"/>
                    <w:ind w:left="15"/>
                  </w:pPr>
                  <w:r>
                    <w:rPr>
                      <w:rFonts w:ascii="仿宋_GB2312" w:hAnsi="仿宋_GB2312" w:cs="仿宋_GB2312" w:eastAsia="仿宋_GB2312"/>
                      <w:sz w:val="18"/>
                      <w:color w:val="000000"/>
                    </w:rPr>
                    <w:t>人眼保护：未起飞状态自动限制亮度</w:t>
                  </w:r>
                </w:p>
                <w:p>
                  <w:pPr>
                    <w:pStyle w:val="null3"/>
                    <w:spacing w:before="75"/>
                    <w:ind w:left="15"/>
                  </w:pPr>
                  <w:r>
                    <w:rPr>
                      <w:rFonts w:ascii="仿宋_GB2312" w:hAnsi="仿宋_GB2312" w:cs="仿宋_GB2312" w:eastAsia="仿宋_GB2312"/>
                      <w:sz w:val="18"/>
                      <w:color w:val="000000"/>
                    </w:rPr>
                    <w:t>负载保护：支持</w:t>
                  </w:r>
                  <w:r>
                    <w:rPr>
                      <w:rFonts w:ascii="仿宋_GB2312" w:hAnsi="仿宋_GB2312" w:cs="仿宋_GB2312" w:eastAsia="仿宋_GB2312"/>
                      <w:sz w:val="18"/>
                      <w:color w:val="000000"/>
                    </w:rPr>
                    <w:t>LED，LEP 温度保护，过流保护，功率保护</w:t>
                  </w:r>
                </w:p>
                <w:p>
                  <w:pPr>
                    <w:pStyle w:val="null3"/>
                    <w:spacing w:before="75"/>
                    <w:ind w:left="15"/>
                  </w:pPr>
                  <w:r>
                    <w:rPr>
                      <w:rFonts w:ascii="仿宋_GB2312" w:hAnsi="仿宋_GB2312" w:cs="仿宋_GB2312" w:eastAsia="仿宋_GB2312"/>
                      <w:sz w:val="18"/>
                      <w:color w:val="000000"/>
                    </w:rPr>
                    <w:t>供应商提供的探照灯</w:t>
                  </w:r>
                  <w:r>
                    <w:rPr>
                      <w:rFonts w:ascii="仿宋_GB2312" w:hAnsi="仿宋_GB2312" w:cs="仿宋_GB2312" w:eastAsia="仿宋_GB2312"/>
                      <w:sz w:val="18"/>
                      <w:color w:val="000000"/>
                    </w:rPr>
                    <w:t>2需作为负载安装在无人机上2，因此应与无人机2具备良好的兼容性和适配性</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center"/>
                  </w:pPr>
                  <w:r>
                    <w:rPr>
                      <w:rFonts w:ascii="仿宋_GB2312" w:hAnsi="仿宋_GB2312" w:cs="仿宋_GB2312" w:eastAsia="仿宋_GB2312"/>
                      <w:sz w:val="18"/>
                      <w:color w:val="000000"/>
                    </w:rPr>
                    <w:t>喊话器</w:t>
                  </w:r>
                  <w:r>
                    <w:rPr>
                      <w:rFonts w:ascii="仿宋_GB2312" w:hAnsi="仿宋_GB2312" w:cs="仿宋_GB2312" w:eastAsia="仿宋_GB2312"/>
                      <w:sz w:val="18"/>
                      <w:color w:val="000000"/>
                    </w:rPr>
                    <w:t>2</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重量：负载重量</w:t>
                  </w:r>
                  <w:r>
                    <w:rPr>
                      <w:rFonts w:ascii="仿宋_GB2312" w:hAnsi="仿宋_GB2312" w:cs="仿宋_GB2312" w:eastAsia="仿宋_GB2312"/>
                      <w:sz w:val="18"/>
                      <w:color w:val="000000"/>
                    </w:rPr>
                    <w:t>≤700g</w:t>
                  </w:r>
                </w:p>
                <w:p>
                  <w:pPr>
                    <w:pStyle w:val="null3"/>
                    <w:spacing w:before="75"/>
                    <w:ind w:left="15"/>
                  </w:pPr>
                  <w:r>
                    <w:rPr>
                      <w:rFonts w:ascii="仿宋_GB2312" w:hAnsi="仿宋_GB2312" w:cs="仿宋_GB2312" w:eastAsia="仿宋_GB2312"/>
                      <w:sz w:val="18"/>
                      <w:color w:val="000000"/>
                    </w:rPr>
                    <w:t>云台：可以控制喊话器进行俯仰运动；</w:t>
                  </w:r>
                </w:p>
                <w:p>
                  <w:pPr>
                    <w:pStyle w:val="null3"/>
                    <w:spacing w:before="75"/>
                    <w:ind w:left="15"/>
                  </w:pP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≥IP54</w:t>
                  </w:r>
                </w:p>
                <w:p>
                  <w:pPr>
                    <w:pStyle w:val="null3"/>
                    <w:spacing w:before="75"/>
                    <w:ind w:left="15"/>
                  </w:pP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 至 50℃</w:t>
                  </w:r>
                </w:p>
                <w:p>
                  <w:pPr>
                    <w:pStyle w:val="null3"/>
                    <w:spacing w:before="75"/>
                    <w:ind w:left="15"/>
                  </w:pPr>
                  <w:r>
                    <w:rPr>
                      <w:rFonts w:ascii="仿宋_GB2312" w:hAnsi="仿宋_GB2312" w:cs="仿宋_GB2312" w:eastAsia="仿宋_GB2312"/>
                      <w:sz w:val="18"/>
                      <w:color w:val="000000"/>
                    </w:rPr>
                    <w:t>有效传播距离：</w:t>
                  </w:r>
                  <w:r>
                    <w:rPr>
                      <w:rFonts w:ascii="仿宋_GB2312" w:hAnsi="仿宋_GB2312" w:cs="仿宋_GB2312" w:eastAsia="仿宋_GB2312"/>
                      <w:sz w:val="18"/>
                      <w:color w:val="000000"/>
                    </w:rPr>
                    <w:t>≥700 米</w:t>
                  </w:r>
                </w:p>
                <w:p>
                  <w:pPr>
                    <w:pStyle w:val="null3"/>
                    <w:spacing w:before="75"/>
                    <w:ind w:left="15"/>
                  </w:pPr>
                  <w:r>
                    <w:rPr>
                      <w:rFonts w:ascii="仿宋_GB2312" w:hAnsi="仿宋_GB2312" w:cs="仿宋_GB2312" w:eastAsia="仿宋_GB2312"/>
                      <w:sz w:val="18"/>
                      <w:color w:val="000000"/>
                    </w:rPr>
                    <w:t>最大响声压级</w:t>
                  </w:r>
                  <w:r>
                    <w:rPr>
                      <w:rFonts w:ascii="仿宋_GB2312" w:hAnsi="仿宋_GB2312" w:cs="仿宋_GB2312" w:eastAsia="仿宋_GB2312"/>
                      <w:sz w:val="18"/>
                      <w:color w:val="000000"/>
                    </w:rPr>
                    <w:t>1 米处：≥125 分贝</w:t>
                  </w:r>
                </w:p>
                <w:p>
                  <w:pPr>
                    <w:pStyle w:val="null3"/>
                    <w:spacing w:before="75"/>
                    <w:ind w:left="15"/>
                  </w:pPr>
                  <w:r>
                    <w:rPr>
                      <w:rFonts w:ascii="仿宋_GB2312" w:hAnsi="仿宋_GB2312" w:cs="仿宋_GB2312" w:eastAsia="仿宋_GB2312"/>
                      <w:sz w:val="18"/>
                      <w:color w:val="000000"/>
                    </w:rPr>
                    <w:t>实时喊话：支持通过遥控器实时喊话；</w:t>
                  </w:r>
                </w:p>
                <w:p>
                  <w:pPr>
                    <w:pStyle w:val="null3"/>
                    <w:spacing w:before="75"/>
                    <w:ind w:left="15"/>
                  </w:pPr>
                  <w:r>
                    <w:rPr>
                      <w:rFonts w:ascii="仿宋_GB2312" w:hAnsi="仿宋_GB2312" w:cs="仿宋_GB2312" w:eastAsia="仿宋_GB2312"/>
                      <w:sz w:val="18"/>
                      <w:color w:val="000000"/>
                    </w:rPr>
                    <w:t>录音喊话：支持通过遥控器录制音频并传输至喊话器进行播放；支持本地试音、音量调节、录音保存功能；</w:t>
                  </w:r>
                </w:p>
                <w:p>
                  <w:pPr>
                    <w:pStyle w:val="null3"/>
                    <w:spacing w:before="75"/>
                    <w:ind w:left="15"/>
                  </w:pPr>
                  <w:r>
                    <w:rPr>
                      <w:rFonts w:ascii="仿宋_GB2312" w:hAnsi="仿宋_GB2312" w:cs="仿宋_GB2312" w:eastAsia="仿宋_GB2312"/>
                      <w:sz w:val="18"/>
                      <w:color w:val="000000"/>
                    </w:rPr>
                    <w:t>文本喊话：支持在遥控器</w:t>
                  </w:r>
                  <w:r>
                    <w:rPr>
                      <w:rFonts w:ascii="仿宋_GB2312" w:hAnsi="仿宋_GB2312" w:cs="仿宋_GB2312" w:eastAsia="仿宋_GB2312"/>
                      <w:sz w:val="18"/>
                      <w:color w:val="000000"/>
                    </w:rPr>
                    <w:t>APP输入文本并传输至喊话器进行播放，支持调整音色和语速，支持循环播放功能；</w:t>
                  </w:r>
                </w:p>
                <w:p>
                  <w:pPr>
                    <w:pStyle w:val="null3"/>
                    <w:spacing w:before="75"/>
                    <w:ind w:left="15"/>
                  </w:pPr>
                  <w:r>
                    <w:rPr>
                      <w:rFonts w:ascii="仿宋_GB2312" w:hAnsi="仿宋_GB2312" w:cs="仿宋_GB2312" w:eastAsia="仿宋_GB2312"/>
                      <w:sz w:val="18"/>
                      <w:color w:val="000000"/>
                    </w:rPr>
                    <w:t>文件播放：支持将遥控器的本地音频文件传输播放，支持</w:t>
                  </w:r>
                  <w:r>
                    <w:rPr>
                      <w:rFonts w:ascii="仿宋_GB2312" w:hAnsi="仿宋_GB2312" w:cs="仿宋_GB2312" w:eastAsia="仿宋_GB2312"/>
                      <w:sz w:val="18"/>
                      <w:color w:val="000000"/>
                    </w:rPr>
                    <w:t>MP3、ACC、WAV格式；</w:t>
                  </w:r>
                </w:p>
                <w:p>
                  <w:pPr>
                    <w:pStyle w:val="null3"/>
                    <w:spacing w:before="75"/>
                    <w:ind w:left="15"/>
                  </w:pPr>
                  <w:r>
                    <w:rPr>
                      <w:rFonts w:ascii="仿宋_GB2312" w:hAnsi="仿宋_GB2312" w:cs="仿宋_GB2312" w:eastAsia="仿宋_GB2312"/>
                      <w:sz w:val="18"/>
                      <w:color w:val="000000"/>
                    </w:rPr>
                    <w:t>边传边播：支持遥控器录音及本地音频文件在上传过程中边传边播；</w:t>
                  </w:r>
                </w:p>
                <w:p>
                  <w:pPr>
                    <w:pStyle w:val="null3"/>
                    <w:spacing w:before="75"/>
                    <w:ind w:left="15"/>
                  </w:pPr>
                  <w:r>
                    <w:rPr>
                      <w:rFonts w:ascii="仿宋_GB2312" w:hAnsi="仿宋_GB2312" w:cs="仿宋_GB2312" w:eastAsia="仿宋_GB2312"/>
                      <w:sz w:val="18"/>
                      <w:color w:val="000000"/>
                    </w:rPr>
                    <w:t>按键映射：支持遥控器按键映射喊话控制，支持映射开始、停止录制、播放音频；</w:t>
                  </w:r>
                </w:p>
                <w:p>
                  <w:pPr>
                    <w:pStyle w:val="null3"/>
                    <w:spacing w:before="75"/>
                    <w:ind w:left="15"/>
                  </w:pPr>
                  <w:r>
                    <w:rPr>
                      <w:rFonts w:ascii="仿宋_GB2312" w:hAnsi="仿宋_GB2312" w:cs="仿宋_GB2312" w:eastAsia="仿宋_GB2312"/>
                      <w:sz w:val="18"/>
                      <w:color w:val="000000"/>
                    </w:rPr>
                    <w:t>定向喊话：支持喊话时，画面中显示</w:t>
                  </w:r>
                  <w:r>
                    <w:rPr>
                      <w:rFonts w:ascii="仿宋_GB2312" w:hAnsi="仿宋_GB2312" w:cs="仿宋_GB2312" w:eastAsia="仿宋_GB2312"/>
                      <w:sz w:val="18"/>
                      <w:color w:val="000000"/>
                    </w:rPr>
                    <w:t>AR投影，显示喊话器的喊话方向；</w:t>
                  </w:r>
                </w:p>
                <w:p>
                  <w:pPr>
                    <w:pStyle w:val="null3"/>
                    <w:spacing w:before="75"/>
                    <w:ind w:left="15"/>
                  </w:pPr>
                  <w:r>
                    <w:rPr>
                      <w:rFonts w:ascii="仿宋_GB2312" w:hAnsi="仿宋_GB2312" w:cs="仿宋_GB2312" w:eastAsia="仿宋_GB2312"/>
                      <w:sz w:val="18"/>
                      <w:color w:val="000000"/>
                    </w:rPr>
                    <w:t>云台联动：支持与其它云台类负载实现联动控制</w:t>
                  </w:r>
                </w:p>
                <w:p>
                  <w:pPr>
                    <w:pStyle w:val="null3"/>
                    <w:spacing w:before="75"/>
                    <w:ind w:left="15"/>
                  </w:pPr>
                  <w:r>
                    <w:rPr>
                      <w:rFonts w:ascii="仿宋_GB2312" w:hAnsi="仿宋_GB2312" w:cs="仿宋_GB2312" w:eastAsia="仿宋_GB2312"/>
                      <w:sz w:val="18"/>
                      <w:color w:val="000000"/>
                    </w:rPr>
                    <w:t>定向拾音：遥控器支持定向拾音和环境降噪</w:t>
                  </w:r>
                </w:p>
                <w:p>
                  <w:pPr>
                    <w:pStyle w:val="null3"/>
                    <w:spacing w:before="75"/>
                    <w:ind w:left="15"/>
                  </w:pPr>
                  <w:r>
                    <w:rPr>
                      <w:rFonts w:ascii="仿宋_GB2312" w:hAnsi="仿宋_GB2312" w:cs="仿宋_GB2312" w:eastAsia="仿宋_GB2312"/>
                      <w:sz w:val="18"/>
                      <w:color w:val="000000"/>
                    </w:rPr>
                    <w:t>负载保护：支持扬声器温度保护，过流保护，功率保护。</w:t>
                  </w:r>
                </w:p>
                <w:p>
                  <w:pPr>
                    <w:pStyle w:val="null3"/>
                    <w:spacing w:before="75"/>
                    <w:ind w:left="15"/>
                  </w:pPr>
                  <w:r>
                    <w:rPr>
                      <w:rFonts w:ascii="仿宋_GB2312" w:hAnsi="仿宋_GB2312" w:cs="仿宋_GB2312" w:eastAsia="仿宋_GB2312"/>
                      <w:sz w:val="18"/>
                      <w:color w:val="000000"/>
                    </w:rPr>
                    <w:t>供应商提供的喊话器</w:t>
                  </w:r>
                  <w:r>
                    <w:rPr>
                      <w:rFonts w:ascii="仿宋_GB2312" w:hAnsi="仿宋_GB2312" w:cs="仿宋_GB2312" w:eastAsia="仿宋_GB2312"/>
                      <w:sz w:val="18"/>
                      <w:color w:val="000000"/>
                    </w:rPr>
                    <w:t>2需作为负载安装在无人机2上，因此应与无人机2具备良好的兼容性和适配性</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r>
                    <w:rPr>
                      <w:rFonts w:ascii="仿宋_GB2312" w:hAnsi="仿宋_GB2312" w:cs="仿宋_GB2312" w:eastAsia="仿宋_GB2312"/>
                      <w:sz w:val="18"/>
                      <w:color w:val="000000"/>
                    </w:rPr>
                    <w:t>机场</w:t>
                  </w:r>
                  <w:r>
                    <w:rPr>
                      <w:rFonts w:ascii="仿宋_GB2312" w:hAnsi="仿宋_GB2312" w:cs="仿宋_GB2312" w:eastAsia="仿宋_GB2312"/>
                      <w:sz w:val="18"/>
                      <w:color w:val="000000"/>
                    </w:rPr>
                    <w:t>1</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5</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整机重量（不含飞行器及外接设备）不大于</w:t>
                  </w:r>
                  <w:r>
                    <w:rPr>
                      <w:rFonts w:ascii="仿宋_GB2312" w:hAnsi="仿宋_GB2312" w:cs="仿宋_GB2312" w:eastAsia="仿宋_GB2312"/>
                      <w:sz w:val="18"/>
                      <w:color w:val="000000"/>
                    </w:rPr>
                    <w:t>60KG；</w:t>
                  </w:r>
                </w:p>
                <w:p>
                  <w:pPr>
                    <w:pStyle w:val="null3"/>
                    <w:spacing w:before="75"/>
                    <w:ind w:left="15"/>
                  </w:pPr>
                  <w:r>
                    <w:rPr>
                      <w:rFonts w:ascii="仿宋_GB2312" w:hAnsi="仿宋_GB2312" w:cs="仿宋_GB2312" w:eastAsia="仿宋_GB2312"/>
                      <w:sz w:val="18"/>
                      <w:color w:val="000000"/>
                    </w:rPr>
                    <w:t>工作环境温度范围覆盖</w:t>
                  </w:r>
                  <w:r>
                    <w:rPr>
                      <w:rFonts w:ascii="仿宋_GB2312" w:hAnsi="仿宋_GB2312" w:cs="仿宋_GB2312" w:eastAsia="仿宋_GB2312"/>
                      <w:sz w:val="18"/>
                      <w:color w:val="000000"/>
                    </w:rPr>
                    <w:t>-20℃至50℃；</w:t>
                  </w:r>
                </w:p>
                <w:p>
                  <w:pPr>
                    <w:pStyle w:val="null3"/>
                    <w:spacing w:before="75"/>
                    <w:ind w:left="15"/>
                  </w:pP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IP55；</w:t>
                  </w:r>
                </w:p>
                <w:p>
                  <w:pPr>
                    <w:pStyle w:val="null3"/>
                    <w:spacing w:before="75"/>
                    <w:ind w:left="15"/>
                  </w:pPr>
                  <w:r>
                    <w:rPr>
                      <w:rFonts w:ascii="仿宋_GB2312" w:hAnsi="仿宋_GB2312" w:cs="仿宋_GB2312" w:eastAsia="仿宋_GB2312"/>
                      <w:sz w:val="18"/>
                      <w:color w:val="000000"/>
                    </w:rPr>
                    <w:t>无人机电池充电时间（从</w:t>
                  </w:r>
                  <w:r>
                    <w:rPr>
                      <w:rFonts w:ascii="仿宋_GB2312" w:hAnsi="仿宋_GB2312" w:cs="仿宋_GB2312" w:eastAsia="仿宋_GB2312"/>
                      <w:sz w:val="18"/>
                      <w:color w:val="000000"/>
                    </w:rPr>
                    <w:t>15%电量充至95%及以上）不大于40分钟；</w:t>
                  </w:r>
                </w:p>
                <w:p>
                  <w:pPr>
                    <w:pStyle w:val="null3"/>
                    <w:spacing w:before="75"/>
                    <w:ind w:left="15"/>
                  </w:pPr>
                  <w:r>
                    <w:rPr>
                      <w:rFonts w:ascii="仿宋_GB2312" w:hAnsi="仿宋_GB2312" w:cs="仿宋_GB2312" w:eastAsia="仿宋_GB2312"/>
                      <w:sz w:val="18"/>
                      <w:color w:val="000000"/>
                    </w:rPr>
                    <w:t>具备备用电源，应急续航时间不低于</w:t>
                  </w:r>
                  <w:r>
                    <w:rPr>
                      <w:rFonts w:ascii="仿宋_GB2312" w:hAnsi="仿宋_GB2312" w:cs="仿宋_GB2312" w:eastAsia="仿宋_GB2312"/>
                      <w:sz w:val="18"/>
                      <w:color w:val="000000"/>
                    </w:rPr>
                    <w:t>3小时；</w:t>
                  </w:r>
                </w:p>
                <w:p>
                  <w:pPr>
                    <w:pStyle w:val="null3"/>
                    <w:spacing w:before="75"/>
                    <w:ind w:left="15"/>
                  </w:pPr>
                  <w:r>
                    <w:rPr>
                      <w:rFonts w:ascii="仿宋_GB2312" w:hAnsi="仿宋_GB2312" w:cs="仿宋_GB2312" w:eastAsia="仿宋_GB2312"/>
                      <w:sz w:val="18"/>
                      <w:color w:val="000000"/>
                    </w:rPr>
                    <w:t>具备环境温度监测功能；</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jc w:val="center"/>
                  </w:pPr>
                  <w:r>
                    <w:rPr>
                      <w:rFonts w:ascii="仿宋_GB2312" w:hAnsi="仿宋_GB2312" w:cs="仿宋_GB2312" w:eastAsia="仿宋_GB2312"/>
                      <w:sz w:val="18"/>
                      <w:color w:val="000000"/>
                    </w:rPr>
                    <w:t>机场</w:t>
                  </w:r>
                  <w:r>
                    <w:rPr>
                      <w:rFonts w:ascii="仿宋_GB2312" w:hAnsi="仿宋_GB2312" w:cs="仿宋_GB2312" w:eastAsia="仿宋_GB2312"/>
                      <w:sz w:val="18"/>
                      <w:color w:val="000000"/>
                    </w:rPr>
                    <w:t>2</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w:t>
                  </w:r>
                  <w:r>
                    <w:rPr>
                      <w:rFonts w:ascii="仿宋_GB2312" w:hAnsi="仿宋_GB2312" w:cs="仿宋_GB2312" w:eastAsia="仿宋_GB2312"/>
                      <w:sz w:val="18"/>
                      <w:color w:val="000000"/>
                    </w:rPr>
                    <w:t>外形尺寸（闭合状态）：长度不大于</w:t>
                  </w:r>
                  <w:r>
                    <w:rPr>
                      <w:rFonts w:ascii="仿宋_GB2312" w:hAnsi="仿宋_GB2312" w:cs="仿宋_GB2312" w:eastAsia="仿宋_GB2312"/>
                      <w:sz w:val="18"/>
                      <w:color w:val="000000"/>
                    </w:rPr>
                    <w:t>1.5米，宽度不大于1.2米，高度不大于1.5米；</w:t>
                  </w:r>
                </w:p>
                <w:p>
                  <w:pPr>
                    <w:pStyle w:val="null3"/>
                    <w:spacing w:before="75"/>
                    <w:ind w:left="15"/>
                  </w:pPr>
                  <w:r>
                    <w:rPr>
                      <w:rFonts w:ascii="仿宋_GB2312" w:hAnsi="仿宋_GB2312" w:cs="仿宋_GB2312" w:eastAsia="仿宋_GB2312"/>
                      <w:sz w:val="18"/>
                      <w:color w:val="000000"/>
                    </w:rPr>
                    <w:t>▲</w:t>
                  </w:r>
                  <w:r>
                    <w:rPr>
                      <w:rFonts w:ascii="仿宋_GB2312" w:hAnsi="仿宋_GB2312" w:cs="仿宋_GB2312" w:eastAsia="仿宋_GB2312"/>
                      <w:sz w:val="18"/>
                      <w:color w:val="000000"/>
                    </w:rPr>
                    <w:t>整机重量：不大于</w:t>
                  </w:r>
                  <w:r>
                    <w:rPr>
                      <w:rFonts w:ascii="仿宋_GB2312" w:hAnsi="仿宋_GB2312" w:cs="仿宋_GB2312" w:eastAsia="仿宋_GB2312"/>
                      <w:sz w:val="18"/>
                      <w:color w:val="000000"/>
                    </w:rPr>
                    <w:t>300KG；</w:t>
                  </w:r>
                </w:p>
                <w:p>
                  <w:pPr>
                    <w:pStyle w:val="null3"/>
                    <w:spacing w:before="75"/>
                    <w:ind w:left="15"/>
                  </w:pPr>
                  <w:r>
                    <w:rPr>
                      <w:rFonts w:ascii="仿宋_GB2312" w:hAnsi="仿宋_GB2312" w:cs="仿宋_GB2312" w:eastAsia="仿宋_GB2312"/>
                      <w:sz w:val="18"/>
                      <w:color w:val="000000"/>
                    </w:rPr>
                    <w:t>▲</w:t>
                  </w:r>
                  <w:r>
                    <w:rPr>
                      <w:rFonts w:ascii="仿宋_GB2312" w:hAnsi="仿宋_GB2312" w:cs="仿宋_GB2312" w:eastAsia="仿宋_GB2312"/>
                      <w:sz w:val="18"/>
                      <w:color w:val="000000"/>
                    </w:rPr>
                    <w:t>工作环境温度：可在</w:t>
                  </w:r>
                  <w:r>
                    <w:rPr>
                      <w:rFonts w:ascii="仿宋_GB2312" w:hAnsi="仿宋_GB2312" w:cs="仿宋_GB2312" w:eastAsia="仿宋_GB2312"/>
                      <w:sz w:val="18"/>
                      <w:color w:val="000000"/>
                    </w:rPr>
                    <w:t>-20℃至50℃范围内正常运行；</w:t>
                  </w:r>
                </w:p>
                <w:p>
                  <w:pPr>
                    <w:pStyle w:val="null3"/>
                    <w:spacing w:before="75"/>
                    <w:ind w:left="15"/>
                  </w:pP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IP55；</w:t>
                  </w:r>
                </w:p>
                <w:p>
                  <w:pPr>
                    <w:pStyle w:val="null3"/>
                    <w:spacing w:before="75"/>
                    <w:ind w:left="15"/>
                  </w:pPr>
                  <w:r>
                    <w:rPr>
                      <w:rFonts w:ascii="仿宋_GB2312" w:hAnsi="仿宋_GB2312" w:cs="仿宋_GB2312" w:eastAsia="仿宋_GB2312"/>
                      <w:sz w:val="18"/>
                      <w:color w:val="000000"/>
                    </w:rPr>
                    <w:t>具</w:t>
                  </w:r>
                  <w:r>
                    <w:rPr>
                      <w:rFonts w:ascii="仿宋_GB2312" w:hAnsi="仿宋_GB2312" w:cs="仿宋_GB2312" w:eastAsia="仿宋_GB2312"/>
                      <w:sz w:val="18"/>
                      <w:color w:val="000000"/>
                    </w:rPr>
                    <w:t>220V充电，电量从 0% 至 100%：45 分钟</w:t>
                  </w:r>
                </w:p>
                <w:p>
                  <w:pPr>
                    <w:pStyle w:val="null3"/>
                    <w:spacing w:before="75"/>
                    <w:ind w:left="15"/>
                  </w:pPr>
                  <w:r>
                    <w:rPr>
                      <w:rFonts w:ascii="仿宋_GB2312" w:hAnsi="仿宋_GB2312" w:cs="仿宋_GB2312" w:eastAsia="仿宋_GB2312"/>
                      <w:sz w:val="18"/>
                      <w:color w:val="000000"/>
                    </w:rPr>
                    <w:t>▲</w:t>
                  </w:r>
                  <w:r>
                    <w:rPr>
                      <w:rFonts w:ascii="仿宋_GB2312" w:hAnsi="仿宋_GB2312" w:cs="仿宋_GB2312" w:eastAsia="仿宋_GB2312"/>
                      <w:sz w:val="18"/>
                      <w:color w:val="000000"/>
                    </w:rPr>
                    <w:t>应急使用时间：最长</w:t>
                  </w:r>
                  <w:r>
                    <w:rPr>
                      <w:rFonts w:ascii="仿宋_GB2312" w:hAnsi="仿宋_GB2312" w:cs="仿宋_GB2312" w:eastAsia="仿宋_GB2312"/>
                      <w:sz w:val="18"/>
                      <w:color w:val="000000"/>
                    </w:rPr>
                    <w:t>300分钟；</w:t>
                  </w:r>
                </w:p>
                <w:p>
                  <w:pPr>
                    <w:pStyle w:val="null3"/>
                    <w:spacing w:before="75"/>
                    <w:ind w:left="15"/>
                  </w:pPr>
                  <w:r>
                    <w:rPr>
                      <w:rFonts w:ascii="仿宋_GB2312" w:hAnsi="仿宋_GB2312" w:cs="仿宋_GB2312" w:eastAsia="仿宋_GB2312"/>
                      <w:sz w:val="18"/>
                      <w:color w:val="000000"/>
                    </w:rPr>
                    <w:t>温控系统：采用工业空调进行机库内部温度控制；</w:t>
                  </w:r>
                </w:p>
                <w:p>
                  <w:pPr>
                    <w:pStyle w:val="null3"/>
                    <w:spacing w:before="75"/>
                    <w:ind w:left="15"/>
                  </w:pPr>
                  <w:r>
                    <w:rPr>
                      <w:rFonts w:ascii="仿宋_GB2312" w:hAnsi="仿宋_GB2312" w:cs="仿宋_GB2312" w:eastAsia="仿宋_GB2312"/>
                      <w:sz w:val="18"/>
                      <w:color w:val="000000"/>
                    </w:rPr>
                    <w:t>最大功率：整机最大功耗不大于</w:t>
                  </w:r>
                  <w:r>
                    <w:rPr>
                      <w:rFonts w:ascii="仿宋_GB2312" w:hAnsi="仿宋_GB2312" w:cs="仿宋_GB2312" w:eastAsia="仿宋_GB2312"/>
                      <w:sz w:val="18"/>
                      <w:color w:val="000000"/>
                    </w:rPr>
                    <w:t>3200瓦；</w:t>
                  </w:r>
                </w:p>
                <w:p>
                  <w:pPr>
                    <w:pStyle w:val="null3"/>
                    <w:spacing w:before="75"/>
                    <w:ind w:left="15"/>
                  </w:pPr>
                  <w:r>
                    <w:rPr>
                      <w:rFonts w:ascii="仿宋_GB2312" w:hAnsi="仿宋_GB2312" w:cs="仿宋_GB2312" w:eastAsia="仿宋_GB2312"/>
                      <w:sz w:val="18"/>
                      <w:color w:val="000000"/>
                    </w:rPr>
                    <w:t>供电电源：交流</w:t>
                  </w:r>
                  <w:r>
                    <w:rPr>
                      <w:rFonts w:ascii="仿宋_GB2312" w:hAnsi="仿宋_GB2312" w:cs="仿宋_GB2312" w:eastAsia="仿宋_GB2312"/>
                      <w:sz w:val="18"/>
                      <w:color w:val="000000"/>
                    </w:rPr>
                    <w:t>220V；</w:t>
                  </w:r>
                </w:p>
                <w:p>
                  <w:pPr>
                    <w:pStyle w:val="null3"/>
                    <w:spacing w:before="75"/>
                    <w:ind w:left="15"/>
                  </w:pPr>
                  <w:r>
                    <w:rPr>
                      <w:rFonts w:ascii="仿宋_GB2312" w:hAnsi="仿宋_GB2312" w:cs="仿宋_GB2312" w:eastAsia="仿宋_GB2312"/>
                      <w:sz w:val="18"/>
                      <w:color w:val="000000"/>
                    </w:rPr>
                    <w:t>双天线固定基站，支持不少于</w:t>
                  </w:r>
                  <w:r>
                    <w:rPr>
                      <w:rFonts w:ascii="仿宋_GB2312" w:hAnsi="仿宋_GB2312" w:cs="仿宋_GB2312" w:eastAsia="仿宋_GB2312"/>
                      <w:sz w:val="18"/>
                      <w:color w:val="000000"/>
                    </w:rPr>
                    <w:t>5种定位模式 全系统全频高精度定位定向；</w:t>
                  </w:r>
                </w:p>
                <w:p>
                  <w:pPr>
                    <w:pStyle w:val="null3"/>
                    <w:spacing w:before="75"/>
                    <w:ind w:left="15"/>
                  </w:pPr>
                  <w:r>
                    <w:rPr>
                      <w:rFonts w:ascii="仿宋_GB2312" w:hAnsi="仿宋_GB2312" w:cs="仿宋_GB2312" w:eastAsia="仿宋_GB2312"/>
                      <w:sz w:val="18"/>
                      <w:color w:val="000000"/>
                    </w:rPr>
                    <w:t>气象模块：包含风速、雨量、温度。</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18"/>
                      <w:color w:val="000000"/>
                    </w:rPr>
                    <w:t>图传模块（飞机）</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6</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个</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≤11.5g</w:t>
                  </w:r>
                </w:p>
                <w:p>
                  <w:pPr>
                    <w:pStyle w:val="null3"/>
                    <w:spacing w:before="75"/>
                    <w:ind w:left="15"/>
                  </w:pP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65°C</w:t>
                  </w:r>
                </w:p>
                <w:p>
                  <w:pPr>
                    <w:pStyle w:val="null3"/>
                    <w:spacing w:before="75"/>
                    <w:ind w:left="15"/>
                  </w:pPr>
                  <w:r>
                    <w:rPr>
                      <w:rFonts w:ascii="仿宋_GB2312" w:hAnsi="仿宋_GB2312" w:cs="仿宋_GB2312" w:eastAsia="仿宋_GB2312"/>
                      <w:sz w:val="18"/>
                      <w:color w:val="000000"/>
                    </w:rPr>
                    <w:t>技术标准：必须同时支持</w:t>
                  </w:r>
                  <w:r>
                    <w:rPr>
                      <w:rFonts w:ascii="仿宋_GB2312" w:hAnsi="仿宋_GB2312" w:cs="仿宋_GB2312" w:eastAsia="仿宋_GB2312"/>
                      <w:sz w:val="18"/>
                      <w:color w:val="000000"/>
                    </w:rPr>
                    <w:t>TDD-LTE/FDD-LTE/WCDMA</w:t>
                  </w:r>
                </w:p>
                <w:p>
                  <w:pPr>
                    <w:pStyle w:val="null3"/>
                    <w:spacing w:before="75"/>
                    <w:ind w:left="15"/>
                  </w:pPr>
                  <w:r>
                    <w:rPr>
                      <w:rFonts w:ascii="仿宋_GB2312" w:hAnsi="仿宋_GB2312" w:cs="仿宋_GB2312" w:eastAsia="仿宋_GB2312"/>
                      <w:sz w:val="18"/>
                      <w:color w:val="000000"/>
                    </w:rPr>
                    <w:t>工作频段：</w:t>
                  </w:r>
                  <w:r>
                    <w:rPr>
                      <w:rFonts w:ascii="仿宋_GB2312" w:hAnsi="仿宋_GB2312" w:cs="仿宋_GB2312" w:eastAsia="仿宋_GB2312"/>
                      <w:sz w:val="18"/>
                      <w:color w:val="000000"/>
                    </w:rPr>
                    <w:t>须覆盖以下频段</w:t>
                  </w:r>
                </w:p>
                <w:p>
                  <w:pPr>
                    <w:pStyle w:val="null3"/>
                    <w:spacing w:before="75"/>
                    <w:ind w:left="15"/>
                  </w:pPr>
                  <w:r>
                    <w:rPr>
                      <w:rFonts w:ascii="仿宋_GB2312" w:hAnsi="仿宋_GB2312" w:cs="仿宋_GB2312" w:eastAsia="仿宋_GB2312"/>
                      <w:sz w:val="18"/>
                      <w:color w:val="000000"/>
                    </w:rPr>
                    <w:t>TDD-LTE:B34, B38, B39, B40, B41</w:t>
                  </w:r>
                </w:p>
                <w:p>
                  <w:pPr>
                    <w:pStyle w:val="null3"/>
                    <w:spacing w:before="75"/>
                    <w:ind w:left="15"/>
                  </w:pPr>
                  <w:r>
                    <w:rPr>
                      <w:rFonts w:ascii="仿宋_GB2312" w:hAnsi="仿宋_GB2312" w:cs="仿宋_GB2312" w:eastAsia="仿宋_GB2312"/>
                      <w:sz w:val="18"/>
                      <w:color w:val="000000"/>
                    </w:rPr>
                    <w:t>FDD-LTE:B1, B2, B3, B4, B5, B7, B8, B12, B13, B18, B19, B20, B25, B26, B28, B66, B71</w:t>
                  </w:r>
                </w:p>
                <w:p>
                  <w:pPr>
                    <w:pStyle w:val="null3"/>
                    <w:spacing w:before="75"/>
                    <w:ind w:left="15"/>
                  </w:pPr>
                  <w:r>
                    <w:rPr>
                      <w:rFonts w:ascii="仿宋_GB2312" w:hAnsi="仿宋_GB2312" w:cs="仿宋_GB2312" w:eastAsia="仿宋_GB2312"/>
                      <w:sz w:val="18"/>
                      <w:color w:val="000000"/>
                    </w:rPr>
                    <w:t>WCDMA:B1, B2, B4, B5, B6, B8, B19</w:t>
                  </w:r>
                </w:p>
                <w:p>
                  <w:pPr>
                    <w:pStyle w:val="null3"/>
                    <w:spacing w:before="75"/>
                    <w:ind w:left="15"/>
                  </w:pPr>
                  <w:r>
                    <w:rPr>
                      <w:rFonts w:ascii="仿宋_GB2312" w:hAnsi="仿宋_GB2312" w:cs="仿宋_GB2312" w:eastAsia="仿宋_GB2312"/>
                      <w:sz w:val="18"/>
                      <w:color w:val="000000"/>
                    </w:rPr>
                    <w:t>天线：双天线</w:t>
                  </w:r>
                </w:p>
                <w:p>
                  <w:pPr>
                    <w:pStyle w:val="null3"/>
                    <w:spacing w:before="75"/>
                    <w:ind w:left="15"/>
                  </w:pPr>
                  <w:r>
                    <w:rPr>
                      <w:rFonts w:ascii="仿宋_GB2312" w:hAnsi="仿宋_GB2312" w:cs="仿宋_GB2312" w:eastAsia="仿宋_GB2312"/>
                      <w:sz w:val="18"/>
                      <w:color w:val="000000"/>
                    </w:rPr>
                    <w:t>接口：必须至少提供：</w:t>
                  </w:r>
                  <w:r>
                    <w:rPr>
                      <w:rFonts w:ascii="仿宋_GB2312" w:hAnsi="仿宋_GB2312" w:cs="仿宋_GB2312" w:eastAsia="仿宋_GB2312"/>
                      <w:sz w:val="18"/>
                      <w:color w:val="000000"/>
                    </w:rPr>
                    <w:t>USB-C 接口、nano-SIM卡接口、TS-5天线接口</w:t>
                  </w:r>
                </w:p>
                <w:p>
                  <w:pPr>
                    <w:pStyle w:val="null3"/>
                    <w:spacing w:before="75"/>
                    <w:ind w:left="15"/>
                  </w:pPr>
                  <w:r>
                    <w:rPr>
                      <w:rFonts w:ascii="仿宋_GB2312" w:hAnsi="仿宋_GB2312" w:cs="仿宋_GB2312" w:eastAsia="仿宋_GB2312"/>
                      <w:sz w:val="18"/>
                      <w:color w:val="000000"/>
                    </w:rPr>
                    <w:t>含三年流量，每年</w:t>
                  </w:r>
                  <w:r>
                    <w:rPr>
                      <w:rFonts w:ascii="仿宋_GB2312" w:hAnsi="仿宋_GB2312" w:cs="仿宋_GB2312" w:eastAsia="仿宋_GB2312"/>
                      <w:sz w:val="18"/>
                      <w:color w:val="000000"/>
                    </w:rPr>
                    <w:t>100G流量</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图传模块（机场）</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6</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个</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≤11.5g</w:t>
                  </w:r>
                </w:p>
                <w:p>
                  <w:pPr>
                    <w:pStyle w:val="null3"/>
                    <w:spacing w:before="75"/>
                    <w:ind w:left="15"/>
                  </w:pP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65°C</w:t>
                  </w:r>
                </w:p>
                <w:p>
                  <w:pPr>
                    <w:pStyle w:val="null3"/>
                    <w:spacing w:before="75"/>
                    <w:ind w:left="15"/>
                  </w:pPr>
                  <w:r>
                    <w:rPr>
                      <w:rFonts w:ascii="仿宋_GB2312" w:hAnsi="仿宋_GB2312" w:cs="仿宋_GB2312" w:eastAsia="仿宋_GB2312"/>
                      <w:sz w:val="18"/>
                      <w:color w:val="000000"/>
                    </w:rPr>
                    <w:t>技术标准：必须同时支持</w:t>
                  </w:r>
                  <w:r>
                    <w:rPr>
                      <w:rFonts w:ascii="仿宋_GB2312" w:hAnsi="仿宋_GB2312" w:cs="仿宋_GB2312" w:eastAsia="仿宋_GB2312"/>
                      <w:sz w:val="18"/>
                      <w:color w:val="000000"/>
                    </w:rPr>
                    <w:t>TDD-LTE/FDD-LTE/WCDMA</w:t>
                  </w:r>
                </w:p>
                <w:p>
                  <w:pPr>
                    <w:pStyle w:val="null3"/>
                    <w:spacing w:before="75"/>
                    <w:ind w:left="15"/>
                  </w:pPr>
                  <w:r>
                    <w:rPr>
                      <w:rFonts w:ascii="仿宋_GB2312" w:hAnsi="仿宋_GB2312" w:cs="仿宋_GB2312" w:eastAsia="仿宋_GB2312"/>
                      <w:sz w:val="18"/>
                      <w:color w:val="000000"/>
                    </w:rPr>
                    <w:t>工作频段：</w:t>
                  </w:r>
                  <w:r>
                    <w:rPr>
                      <w:rFonts w:ascii="仿宋_GB2312" w:hAnsi="仿宋_GB2312" w:cs="仿宋_GB2312" w:eastAsia="仿宋_GB2312"/>
                      <w:sz w:val="18"/>
                      <w:color w:val="000000"/>
                    </w:rPr>
                    <w:t>须覆盖以下频段</w:t>
                  </w:r>
                </w:p>
                <w:p>
                  <w:pPr>
                    <w:pStyle w:val="null3"/>
                    <w:spacing w:before="75"/>
                    <w:ind w:left="15"/>
                  </w:pPr>
                  <w:r>
                    <w:rPr>
                      <w:rFonts w:ascii="仿宋_GB2312" w:hAnsi="仿宋_GB2312" w:cs="仿宋_GB2312" w:eastAsia="仿宋_GB2312"/>
                      <w:sz w:val="18"/>
                      <w:color w:val="000000"/>
                    </w:rPr>
                    <w:t>TDD-LTE:B34, B38, B39, B40, B41</w:t>
                  </w:r>
                </w:p>
                <w:p>
                  <w:pPr>
                    <w:pStyle w:val="null3"/>
                    <w:spacing w:before="75"/>
                    <w:ind w:left="15"/>
                  </w:pPr>
                  <w:r>
                    <w:rPr>
                      <w:rFonts w:ascii="仿宋_GB2312" w:hAnsi="仿宋_GB2312" w:cs="仿宋_GB2312" w:eastAsia="仿宋_GB2312"/>
                      <w:sz w:val="18"/>
                      <w:color w:val="000000"/>
                    </w:rPr>
                    <w:t>FDD-LTE:B1, B2, B3, B4, B5, B7, B8, B12, B13, B18, B19, B20, B25, B26, B28, B66, B71</w:t>
                  </w:r>
                </w:p>
                <w:p>
                  <w:pPr>
                    <w:pStyle w:val="null3"/>
                    <w:spacing w:before="75"/>
                    <w:ind w:left="15"/>
                  </w:pPr>
                  <w:r>
                    <w:rPr>
                      <w:rFonts w:ascii="仿宋_GB2312" w:hAnsi="仿宋_GB2312" w:cs="仿宋_GB2312" w:eastAsia="仿宋_GB2312"/>
                      <w:sz w:val="18"/>
                      <w:color w:val="000000"/>
                    </w:rPr>
                    <w:t>WCDMA:B1, B2, B4, B5, B6, B8, B19</w:t>
                  </w:r>
                </w:p>
                <w:p>
                  <w:pPr>
                    <w:pStyle w:val="null3"/>
                    <w:spacing w:before="75"/>
                    <w:ind w:left="15"/>
                  </w:pPr>
                  <w:r>
                    <w:rPr>
                      <w:rFonts w:ascii="仿宋_GB2312" w:hAnsi="仿宋_GB2312" w:cs="仿宋_GB2312" w:eastAsia="仿宋_GB2312"/>
                      <w:sz w:val="18"/>
                      <w:color w:val="000000"/>
                    </w:rPr>
                    <w:t>天线：双天线</w:t>
                  </w:r>
                </w:p>
                <w:p>
                  <w:pPr>
                    <w:pStyle w:val="null3"/>
                    <w:spacing w:before="75"/>
                    <w:ind w:left="15"/>
                  </w:pPr>
                  <w:r>
                    <w:rPr>
                      <w:rFonts w:ascii="仿宋_GB2312" w:hAnsi="仿宋_GB2312" w:cs="仿宋_GB2312" w:eastAsia="仿宋_GB2312"/>
                      <w:sz w:val="18"/>
                      <w:color w:val="000000"/>
                    </w:rPr>
                    <w:t>接口：必须至少提供：</w:t>
                  </w:r>
                  <w:r>
                    <w:rPr>
                      <w:rFonts w:ascii="仿宋_GB2312" w:hAnsi="仿宋_GB2312" w:cs="仿宋_GB2312" w:eastAsia="仿宋_GB2312"/>
                      <w:sz w:val="18"/>
                      <w:color w:val="000000"/>
                    </w:rPr>
                    <w:t>USB-C 接口、nano-SIM卡接口、TS-5天线接口</w:t>
                  </w:r>
                </w:p>
                <w:p>
                  <w:pPr>
                    <w:pStyle w:val="null3"/>
                    <w:spacing w:before="75"/>
                    <w:ind w:left="15"/>
                  </w:pPr>
                  <w:r>
                    <w:rPr>
                      <w:rFonts w:ascii="仿宋_GB2312" w:hAnsi="仿宋_GB2312" w:cs="仿宋_GB2312" w:eastAsia="仿宋_GB2312"/>
                      <w:sz w:val="18"/>
                      <w:color w:val="000000"/>
                    </w:rPr>
                    <w:t>含三年流量，每年</w:t>
                  </w:r>
                  <w:r>
                    <w:rPr>
                      <w:rFonts w:ascii="仿宋_GB2312" w:hAnsi="仿宋_GB2312" w:cs="仿宋_GB2312" w:eastAsia="仿宋_GB2312"/>
                      <w:sz w:val="18"/>
                      <w:color w:val="000000"/>
                    </w:rPr>
                    <w:t>100G流量</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应用资源</w:t>
                  </w:r>
                  <w:r>
                    <w:rPr>
                      <w:rFonts w:ascii="仿宋_GB2312" w:hAnsi="仿宋_GB2312" w:cs="仿宋_GB2312" w:eastAsia="仿宋_GB2312"/>
                      <w:sz w:val="18"/>
                      <w:color w:val="000000"/>
                    </w:rPr>
                    <w:t>1</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20核CPU20线程</w:t>
                  </w:r>
                </w:p>
                <w:p>
                  <w:pPr>
                    <w:pStyle w:val="null3"/>
                    <w:spacing w:before="75"/>
                    <w:ind w:left="15"/>
                    <w:jc w:val="both"/>
                  </w:pPr>
                  <w:r>
                    <w:rPr>
                      <w:rFonts w:ascii="仿宋_GB2312" w:hAnsi="仿宋_GB2312" w:cs="仿宋_GB2312" w:eastAsia="仿宋_GB2312"/>
                      <w:sz w:val="18"/>
                      <w:color w:val="000000"/>
                    </w:rPr>
                    <w:t>内存不低于</w:t>
                  </w:r>
                  <w:r>
                    <w:rPr>
                      <w:rFonts w:ascii="仿宋_GB2312" w:hAnsi="仿宋_GB2312" w:cs="仿宋_GB2312" w:eastAsia="仿宋_GB2312"/>
                      <w:sz w:val="18"/>
                      <w:color w:val="000000"/>
                    </w:rPr>
                    <w:t>64G</w:t>
                  </w:r>
                </w:p>
                <w:p>
                  <w:pPr>
                    <w:pStyle w:val="null3"/>
                    <w:spacing w:before="75"/>
                    <w:ind w:left="15"/>
                    <w:jc w:val="both"/>
                  </w:pPr>
                  <w:r>
                    <w:rPr>
                      <w:rFonts w:ascii="仿宋_GB2312" w:hAnsi="仿宋_GB2312" w:cs="仿宋_GB2312" w:eastAsia="仿宋_GB2312"/>
                      <w:sz w:val="18"/>
                      <w:color w:val="000000"/>
                    </w:rPr>
                    <w:t>显卡配置不低于</w:t>
                  </w:r>
                  <w:r>
                    <w:rPr>
                      <w:rFonts w:ascii="仿宋_GB2312" w:hAnsi="仿宋_GB2312" w:cs="仿宋_GB2312" w:eastAsia="仿宋_GB2312"/>
                      <w:sz w:val="18"/>
                      <w:color w:val="000000"/>
                    </w:rPr>
                    <w:t>FP32单精度浮点算力：12.0 TFLOPS</w:t>
                  </w:r>
                </w:p>
                <w:p>
                  <w:pPr>
                    <w:pStyle w:val="null3"/>
                    <w:spacing w:before="75"/>
                    <w:ind w:left="15"/>
                    <w:jc w:val="both"/>
                  </w:pPr>
                  <w:r>
                    <w:rPr>
                      <w:rFonts w:ascii="仿宋_GB2312" w:hAnsi="仿宋_GB2312" w:cs="仿宋_GB2312" w:eastAsia="仿宋_GB2312"/>
                      <w:sz w:val="18"/>
                      <w:color w:val="000000"/>
                    </w:rPr>
                    <w:t>系统盘：不低于</w:t>
                  </w:r>
                  <w:r>
                    <w:rPr>
                      <w:rFonts w:ascii="仿宋_GB2312" w:hAnsi="仿宋_GB2312" w:cs="仿宋_GB2312" w:eastAsia="仿宋_GB2312"/>
                      <w:sz w:val="18"/>
                      <w:color w:val="000000"/>
                    </w:rPr>
                    <w:t>2TB</w:t>
                  </w:r>
                </w:p>
                <w:p>
                  <w:pPr>
                    <w:pStyle w:val="null3"/>
                    <w:spacing w:before="75"/>
                    <w:ind w:left="15"/>
                    <w:jc w:val="both"/>
                  </w:pPr>
                  <w:r>
                    <w:rPr>
                      <w:rFonts w:ascii="仿宋_GB2312" w:hAnsi="仿宋_GB2312" w:cs="仿宋_GB2312" w:eastAsia="仿宋_GB2312"/>
                      <w:sz w:val="18"/>
                      <w:color w:val="000000"/>
                    </w:rPr>
                    <w:t>数据盘：不低于</w:t>
                  </w:r>
                  <w:r>
                    <w:rPr>
                      <w:rFonts w:ascii="仿宋_GB2312" w:hAnsi="仿宋_GB2312" w:cs="仿宋_GB2312" w:eastAsia="仿宋_GB2312"/>
                      <w:sz w:val="18"/>
                      <w:color w:val="000000"/>
                    </w:rPr>
                    <w:t>4TB</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应用资源</w:t>
                  </w:r>
                  <w:r>
                    <w:rPr>
                      <w:rFonts w:ascii="仿宋_GB2312" w:hAnsi="仿宋_GB2312" w:cs="仿宋_GB2312" w:eastAsia="仿宋_GB2312"/>
                      <w:sz w:val="18"/>
                      <w:color w:val="000000"/>
                    </w:rPr>
                    <w:t>2</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28核CPU56线程 *2</w:t>
                  </w:r>
                </w:p>
                <w:p>
                  <w:pPr>
                    <w:pStyle w:val="null3"/>
                    <w:spacing w:before="75"/>
                    <w:ind w:left="15"/>
                    <w:jc w:val="both"/>
                  </w:pPr>
                  <w:r>
                    <w:rPr>
                      <w:rFonts w:ascii="仿宋_GB2312" w:hAnsi="仿宋_GB2312" w:cs="仿宋_GB2312" w:eastAsia="仿宋_GB2312"/>
                      <w:sz w:val="18"/>
                      <w:color w:val="000000"/>
                    </w:rPr>
                    <w:t>内存不低于</w:t>
                  </w:r>
                  <w:r>
                    <w:rPr>
                      <w:rFonts w:ascii="仿宋_GB2312" w:hAnsi="仿宋_GB2312" w:cs="仿宋_GB2312" w:eastAsia="仿宋_GB2312"/>
                      <w:sz w:val="18"/>
                      <w:color w:val="000000"/>
                    </w:rPr>
                    <w:t>128G</w:t>
                  </w:r>
                </w:p>
                <w:p>
                  <w:pPr>
                    <w:pStyle w:val="null3"/>
                    <w:spacing w:before="75"/>
                    <w:ind w:left="15"/>
                    <w:jc w:val="both"/>
                  </w:pPr>
                  <w:r>
                    <w:rPr>
                      <w:rFonts w:ascii="仿宋_GB2312" w:hAnsi="仿宋_GB2312" w:cs="仿宋_GB2312" w:eastAsia="仿宋_GB2312"/>
                      <w:sz w:val="18"/>
                      <w:color w:val="000000"/>
                    </w:rPr>
                    <w:t>系统盘：不低于</w:t>
                  </w:r>
                  <w:r>
                    <w:rPr>
                      <w:rFonts w:ascii="仿宋_GB2312" w:hAnsi="仿宋_GB2312" w:cs="仿宋_GB2312" w:eastAsia="仿宋_GB2312"/>
                      <w:sz w:val="18"/>
                      <w:color w:val="000000"/>
                    </w:rPr>
                    <w:t>128GB</w:t>
                  </w:r>
                </w:p>
                <w:p>
                  <w:pPr>
                    <w:pStyle w:val="null3"/>
                    <w:spacing w:before="75"/>
                    <w:ind w:left="15"/>
                    <w:jc w:val="both"/>
                  </w:pPr>
                  <w:r>
                    <w:rPr>
                      <w:rFonts w:ascii="仿宋_GB2312" w:hAnsi="仿宋_GB2312" w:cs="仿宋_GB2312" w:eastAsia="仿宋_GB2312"/>
                      <w:sz w:val="18"/>
                      <w:color w:val="000000"/>
                    </w:rPr>
                    <w:t>数据盘：不低于</w:t>
                  </w:r>
                  <w:r>
                    <w:rPr>
                      <w:rFonts w:ascii="仿宋_GB2312" w:hAnsi="仿宋_GB2312" w:cs="仿宋_GB2312" w:eastAsia="仿宋_GB2312"/>
                      <w:sz w:val="18"/>
                      <w:color w:val="000000"/>
                    </w:rPr>
                    <w:t>12TB</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算力资源</w:t>
                  </w:r>
                  <w:r>
                    <w:rPr>
                      <w:rFonts w:ascii="仿宋_GB2312" w:hAnsi="仿宋_GB2312" w:cs="仿宋_GB2312" w:eastAsia="仿宋_GB2312"/>
                      <w:sz w:val="18"/>
                      <w:color w:val="000000"/>
                    </w:rPr>
                    <w:t>1</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20核CPU20线程</w:t>
                  </w:r>
                </w:p>
                <w:p>
                  <w:pPr>
                    <w:pStyle w:val="null3"/>
                    <w:spacing w:before="75"/>
                    <w:ind w:left="15"/>
                    <w:jc w:val="both"/>
                  </w:pPr>
                  <w:r>
                    <w:rPr>
                      <w:rFonts w:ascii="仿宋_GB2312" w:hAnsi="仿宋_GB2312" w:cs="仿宋_GB2312" w:eastAsia="仿宋_GB2312"/>
                      <w:sz w:val="18"/>
                      <w:color w:val="000000"/>
                    </w:rPr>
                    <w:t>内存不低于</w:t>
                  </w:r>
                  <w:r>
                    <w:rPr>
                      <w:rFonts w:ascii="仿宋_GB2312" w:hAnsi="仿宋_GB2312" w:cs="仿宋_GB2312" w:eastAsia="仿宋_GB2312"/>
                      <w:sz w:val="18"/>
                      <w:color w:val="000000"/>
                    </w:rPr>
                    <w:t>128G</w:t>
                  </w:r>
                </w:p>
                <w:p>
                  <w:pPr>
                    <w:pStyle w:val="null3"/>
                    <w:spacing w:before="75"/>
                    <w:ind w:left="15"/>
                    <w:jc w:val="both"/>
                  </w:pPr>
                  <w:r>
                    <w:rPr>
                      <w:rFonts w:ascii="仿宋_GB2312" w:hAnsi="仿宋_GB2312" w:cs="仿宋_GB2312" w:eastAsia="仿宋_GB2312"/>
                      <w:sz w:val="18"/>
                      <w:color w:val="000000"/>
                    </w:rPr>
                    <w:t>显卡配置不低于：</w:t>
                  </w:r>
                  <w:r>
                    <w:rPr>
                      <w:rFonts w:ascii="仿宋_GB2312" w:hAnsi="仿宋_GB2312" w:cs="仿宋_GB2312" w:eastAsia="仿宋_GB2312"/>
                      <w:sz w:val="18"/>
                      <w:color w:val="000000"/>
                    </w:rPr>
                    <w:t>FP32单精度浮点：43TFLOPS系统盘： 1TB</w:t>
                  </w:r>
                </w:p>
                <w:p>
                  <w:pPr>
                    <w:pStyle w:val="null3"/>
                    <w:spacing w:before="75"/>
                    <w:ind w:left="15"/>
                    <w:jc w:val="both"/>
                  </w:pPr>
                  <w:r>
                    <w:rPr>
                      <w:rFonts w:ascii="仿宋_GB2312" w:hAnsi="仿宋_GB2312" w:cs="仿宋_GB2312" w:eastAsia="仿宋_GB2312"/>
                      <w:sz w:val="18"/>
                      <w:color w:val="000000"/>
                    </w:rPr>
                    <w:t>数据盘：不低于</w:t>
                  </w:r>
                  <w:r>
                    <w:rPr>
                      <w:rFonts w:ascii="仿宋_GB2312" w:hAnsi="仿宋_GB2312" w:cs="仿宋_GB2312" w:eastAsia="仿宋_GB2312"/>
                      <w:sz w:val="18"/>
                      <w:color w:val="000000"/>
                    </w:rPr>
                    <w:t>8TB</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算力资源</w:t>
                  </w:r>
                  <w:r>
                    <w:rPr>
                      <w:rFonts w:ascii="仿宋_GB2312" w:hAnsi="仿宋_GB2312" w:cs="仿宋_GB2312" w:eastAsia="仿宋_GB2312"/>
                      <w:sz w:val="18"/>
                      <w:color w:val="000000"/>
                    </w:rPr>
                    <w:t>2</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20核CPU40线程*2</w:t>
                  </w:r>
                </w:p>
                <w:p>
                  <w:pPr>
                    <w:pStyle w:val="null3"/>
                    <w:spacing w:before="75"/>
                    <w:ind w:left="15"/>
                    <w:jc w:val="both"/>
                  </w:pPr>
                  <w:r>
                    <w:rPr>
                      <w:rFonts w:ascii="仿宋_GB2312" w:hAnsi="仿宋_GB2312" w:cs="仿宋_GB2312" w:eastAsia="仿宋_GB2312"/>
                      <w:sz w:val="18"/>
                      <w:color w:val="000000"/>
                    </w:rPr>
                    <w:t>内存不低于</w:t>
                  </w:r>
                  <w:r>
                    <w:rPr>
                      <w:rFonts w:ascii="仿宋_GB2312" w:hAnsi="仿宋_GB2312" w:cs="仿宋_GB2312" w:eastAsia="仿宋_GB2312"/>
                      <w:sz w:val="18"/>
                      <w:color w:val="000000"/>
                    </w:rPr>
                    <w:t>64G；</w:t>
                  </w:r>
                </w:p>
                <w:p>
                  <w:pPr>
                    <w:pStyle w:val="null3"/>
                    <w:spacing w:before="75"/>
                    <w:ind w:left="15"/>
                    <w:jc w:val="both"/>
                  </w:pPr>
                  <w:r>
                    <w:rPr>
                      <w:rFonts w:ascii="仿宋_GB2312" w:hAnsi="仿宋_GB2312" w:cs="仿宋_GB2312" w:eastAsia="仿宋_GB2312"/>
                      <w:sz w:val="18"/>
                      <w:color w:val="000000"/>
                    </w:rPr>
                    <w:t>显卡配置不低于：</w:t>
                  </w:r>
                  <w:r>
                    <w:rPr>
                      <w:rFonts w:ascii="仿宋_GB2312" w:hAnsi="仿宋_GB2312" w:cs="仿宋_GB2312" w:eastAsia="仿宋_GB2312"/>
                      <w:sz w:val="18"/>
                      <w:color w:val="000000"/>
                    </w:rPr>
                    <w:t>FP32单精度浮点：165 TFLOPS</w:t>
                  </w:r>
                </w:p>
                <w:p>
                  <w:pPr>
                    <w:pStyle w:val="null3"/>
                    <w:spacing w:before="75"/>
                    <w:ind w:left="15"/>
                    <w:jc w:val="both"/>
                  </w:pPr>
                  <w:r>
                    <w:rPr>
                      <w:rFonts w:ascii="仿宋_GB2312" w:hAnsi="仿宋_GB2312" w:cs="仿宋_GB2312" w:eastAsia="仿宋_GB2312"/>
                      <w:sz w:val="18"/>
                      <w:color w:val="000000"/>
                    </w:rPr>
                    <w:t>系统盘：不低于</w:t>
                  </w:r>
                  <w:r>
                    <w:rPr>
                      <w:rFonts w:ascii="仿宋_GB2312" w:hAnsi="仿宋_GB2312" w:cs="仿宋_GB2312" w:eastAsia="仿宋_GB2312"/>
                      <w:sz w:val="18"/>
                      <w:color w:val="000000"/>
                    </w:rPr>
                    <w:t>480GB</w:t>
                  </w:r>
                </w:p>
                <w:p>
                  <w:pPr>
                    <w:pStyle w:val="null3"/>
                    <w:spacing w:before="75"/>
                    <w:ind w:left="15"/>
                    <w:jc w:val="both"/>
                  </w:pPr>
                  <w:r>
                    <w:rPr>
                      <w:rFonts w:ascii="仿宋_GB2312" w:hAnsi="仿宋_GB2312" w:cs="仿宋_GB2312" w:eastAsia="仿宋_GB2312"/>
                      <w:sz w:val="18"/>
                      <w:color w:val="000000"/>
                    </w:rPr>
                    <w:t>数据盘：不低于</w:t>
                  </w:r>
                  <w:r>
                    <w:rPr>
                      <w:rFonts w:ascii="仿宋_GB2312" w:hAnsi="仿宋_GB2312" w:cs="仿宋_GB2312" w:eastAsia="仿宋_GB2312"/>
                      <w:sz w:val="18"/>
                      <w:color w:val="000000"/>
                    </w:rPr>
                    <w:t>4TB</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存储资源</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低于</w:t>
                  </w:r>
                  <w:r>
                    <w:rPr>
                      <w:rFonts w:ascii="仿宋_GB2312" w:hAnsi="仿宋_GB2312" w:cs="仿宋_GB2312" w:eastAsia="仿宋_GB2312"/>
                      <w:sz w:val="18"/>
                      <w:color w:val="000000"/>
                    </w:rPr>
                    <w:t>20核CPU40线程</w:t>
                  </w:r>
                </w:p>
                <w:p>
                  <w:pPr>
                    <w:pStyle w:val="null3"/>
                    <w:spacing w:before="75"/>
                    <w:ind w:left="15"/>
                    <w:jc w:val="both"/>
                  </w:pPr>
                  <w:r>
                    <w:rPr>
                      <w:rFonts w:ascii="仿宋_GB2312" w:hAnsi="仿宋_GB2312" w:cs="仿宋_GB2312" w:eastAsia="仿宋_GB2312"/>
                      <w:sz w:val="18"/>
                      <w:color w:val="000000"/>
                    </w:rPr>
                    <w:t>内存不低于</w:t>
                  </w:r>
                  <w:r>
                    <w:rPr>
                      <w:rFonts w:ascii="仿宋_GB2312" w:hAnsi="仿宋_GB2312" w:cs="仿宋_GB2312" w:eastAsia="仿宋_GB2312"/>
                      <w:sz w:val="18"/>
                      <w:color w:val="000000"/>
                    </w:rPr>
                    <w:t>64G</w:t>
                  </w:r>
                </w:p>
                <w:p>
                  <w:pPr>
                    <w:pStyle w:val="null3"/>
                    <w:spacing w:before="75"/>
                    <w:ind w:left="15"/>
                    <w:jc w:val="both"/>
                  </w:pPr>
                  <w:r>
                    <w:rPr>
                      <w:rFonts w:ascii="仿宋_GB2312" w:hAnsi="仿宋_GB2312" w:cs="仿宋_GB2312" w:eastAsia="仿宋_GB2312"/>
                      <w:sz w:val="18"/>
                      <w:color w:val="000000"/>
                    </w:rPr>
                    <w:t>系统盘：</w:t>
                  </w: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128GB</w:t>
                  </w:r>
                </w:p>
                <w:p>
                  <w:pPr>
                    <w:pStyle w:val="null3"/>
                    <w:spacing w:before="75"/>
                    <w:ind w:left="15"/>
                    <w:jc w:val="both"/>
                  </w:pPr>
                  <w:r>
                    <w:rPr>
                      <w:rFonts w:ascii="仿宋_GB2312" w:hAnsi="仿宋_GB2312" w:cs="仿宋_GB2312" w:eastAsia="仿宋_GB2312"/>
                      <w:sz w:val="18"/>
                      <w:color w:val="000000"/>
                    </w:rPr>
                    <w:t>数据盘：不低于</w:t>
                  </w:r>
                  <w:r>
                    <w:rPr>
                      <w:rFonts w:ascii="仿宋_GB2312" w:hAnsi="仿宋_GB2312" w:cs="仿宋_GB2312" w:eastAsia="仿宋_GB2312"/>
                      <w:sz w:val="18"/>
                      <w:color w:val="000000"/>
                    </w:rPr>
                    <w:t>64TB</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带宽</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项</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300M</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企业路由</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台</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多</w:t>
                  </w:r>
                  <w:r>
                    <w:rPr>
                      <w:rFonts w:ascii="仿宋_GB2312" w:hAnsi="仿宋_GB2312" w:cs="仿宋_GB2312" w:eastAsia="仿宋_GB2312"/>
                      <w:sz w:val="18"/>
                      <w:color w:val="000000"/>
                    </w:rPr>
                    <w:t>WAN口，Web认证、上网行为管理、负载均衡与线路备份、内外网ARP防护及常见攻击防护</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安全防火墙</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支持基于</w:t>
                  </w:r>
                  <w:r>
                    <w:rPr>
                      <w:rFonts w:ascii="仿宋_GB2312" w:hAnsi="仿宋_GB2312" w:cs="仿宋_GB2312" w:eastAsia="仿宋_GB2312"/>
                      <w:sz w:val="18"/>
                      <w:color w:val="000000"/>
                    </w:rPr>
                    <w:t>AI的策略冗余分析、策略命中分析以及应用风险调优等能力，支持资产扫描、加密流量检测、应用审计、数据安全、网页过滤、带宽管理、IPS、AV等应用层安全功能，支持链路负载，支持SSL VPN \IPSEC VPN等多种VPN功能，支持国密算法，支持IPV6协议，支持网页诊断功能等。</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上网行为管理</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支持流量管理、应用管控、</w:t>
                  </w:r>
                  <w:r>
                    <w:rPr>
                      <w:rFonts w:ascii="仿宋_GB2312" w:hAnsi="仿宋_GB2312" w:cs="仿宋_GB2312" w:eastAsia="仿宋_GB2312"/>
                      <w:sz w:val="18"/>
                      <w:color w:val="000000"/>
                    </w:rPr>
                    <w:t>URL过滤、SSL加密内容审计、防私接路由管理等，支持本地认证、短信认证、二维码认证、混合认证等多种认证方式，支持VPN功能、负载均衡等功能，能够实现应用缓存以及广告推送，能够与至少32家无线非经平台对接，支持大数据分析能够对用户行为画像，支持被云端管理平台管理，支持配合行为分析平台进行行为分析。</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日志审计</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支持旁路镜像、透明、路由、混合模式部署，支持单机、集群、分布式多级级联部署，支持</w:t>
                  </w:r>
                  <w:r>
                    <w:rPr>
                      <w:rFonts w:ascii="仿宋_GB2312" w:hAnsi="仿宋_GB2312" w:cs="仿宋_GB2312" w:eastAsia="仿宋_GB2312"/>
                      <w:sz w:val="18"/>
                      <w:color w:val="000000"/>
                    </w:rPr>
                    <w:t>Syslog、SNMP、Agent、API、流量镜像、数据库专用探针等多方式日志采集，全面覆盖网络设备、安全设备、主机服务器、数据库、中间件、业务应用、云资源、物联网设备等全类型日志源，支持日志智能解析、敏感字段自动脱敏、归一化处理、过滤压缩、加密存储，采用 WORM 一次写入多次读取技术、哈希校验与数字签名确保日志不可篡改，支持异地灾备与双机热备，支持符合等保 2.0 及行业要求的 6 个月以上日志长期留存，支持全行为审计、异常行为基线检测、多维度关联分析、攻击链可视化溯源，支持分级安全告警与短信、邮件、钉钉、企业微信等多渠道通知，能够与防火墙、WAF、IDS/IPS、EDR、堡垒机、态势感知平台等主流安全产品无缝联动，支持大数据分析与用户行为画像、资产风险评估，支持被云端统一管理平台集中管控，支持配合安全运营中心（SOC）进行全流程安全事件处置与深度分析。</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漏洞扫描</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支持旁路、分布式、云原生部署，支持主动</w:t>
                  </w:r>
                  <w:r>
                    <w:rPr>
                      <w:rFonts w:ascii="仿宋_GB2312" w:hAnsi="仿宋_GB2312" w:cs="仿宋_GB2312" w:eastAsia="仿宋_GB2312"/>
                      <w:sz w:val="18"/>
                      <w:color w:val="000000"/>
                    </w:rPr>
                    <w:t>/被动/定时/增量扫描与流量限速，可自动发现全类型资产，覆盖系统、数据库、Web应用、API、容器、云资源等漏洞检测，内置主流漏洞库并实时更新，支持弱口令与配置合规检查，漏洞分级定级并提供整改建议，内置行业合规模板可自动生成多格式报告，支持漏洞全生命周期管理与复测验证，可与防火墙、WAF、EDR、态势感知等安全产品联动形成闭环，支持云端统一管理与SOC平台对接。</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运维审计</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支持旁路、透明、单机、集群部署，支持本地、</w:t>
                  </w:r>
                  <w:r>
                    <w:rPr>
                      <w:rFonts w:ascii="仿宋_GB2312" w:hAnsi="仿宋_GB2312" w:cs="仿宋_GB2312" w:eastAsia="仿宋_GB2312"/>
                      <w:sz w:val="18"/>
                      <w:color w:val="000000"/>
                    </w:rPr>
                    <w:t>AD、LDAP、Radius、短信、二维码等多种认证方式，实现统一账号管理与细粒度权限分配，全程记录运维操作（命令、录屏、文件传输），支持危险命令拦截与操作实时阻断，内置等保及行业合规模板可自动生成审计报告，支持与日志审计、态势感知等安全产品联动，支持三权分立权限体系与云端统一管理。</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数据库审计</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支持旁路镜像、单机、集群部署，支持主流关系型、非关系型数据库全流量采集，全程审计数据库登录、查询、增删改、权限变更等所有操作，支持敏感数据访问审计、危险</w:t>
                  </w:r>
                  <w:r>
                    <w:rPr>
                      <w:rFonts w:ascii="仿宋_GB2312" w:hAnsi="仿宋_GB2312" w:cs="仿宋_GB2312" w:eastAsia="仿宋_GB2312"/>
                      <w:sz w:val="18"/>
                      <w:color w:val="000000"/>
                    </w:rPr>
                    <w:t>SQL实时阻断与多渠道告警，内置等保及行业合规模板可自动生成审计报告，可与日志审计、态势感知等安全产品联动，支持三权分立权限体系与云端统一管理。</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终端杀毒</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套</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Windows、Linux、Mac、移动终端全覆盖，提供实时防护、全盘/定时/按需查杀能力，可查杀病毒、木马、勒索软件、挖矿程序等恶意威胁，支持补丁管理、U盘外设管控、违规外联检测，支持统一策略下发与终端状态监控，可与EDR、态势感知等安全产品联动，内置合规模板自动生成审计报告，支持云端统一管理与分级权限控制。</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8"/>
                      <w:color w:val="000000"/>
                    </w:rPr>
                    <w:t>机场安装及认证</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center"/>
                  </w:pPr>
                  <w:r>
                    <w:rPr>
                      <w:rFonts w:ascii="仿宋_GB2312" w:hAnsi="仿宋_GB2312" w:cs="仿宋_GB2312" w:eastAsia="仿宋_GB2312"/>
                      <w:sz w:val="18"/>
                      <w:color w:val="000000"/>
                    </w:rPr>
                    <w:t>6</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center"/>
                  </w:pPr>
                  <w:r>
                    <w:rPr>
                      <w:rFonts w:ascii="仿宋_GB2312" w:hAnsi="仿宋_GB2312" w:cs="仿宋_GB2312" w:eastAsia="仿宋_GB2312"/>
                      <w:sz w:val="18"/>
                      <w:color w:val="000000"/>
                    </w:rPr>
                    <w:t>项</w:t>
                  </w:r>
                </w:p>
              </w:tc>
              <w:tc>
                <w:tcPr>
                  <w:tcW w:type="dxa" w:w="1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18"/>
                      <w:color w:val="000000"/>
                    </w:rPr>
                    <w:t>机场安装及认证：安全用电施工保障，与无人机机场合规部署</w:t>
                  </w:r>
                  <w:r>
                    <w:rPr>
                      <w:rFonts w:ascii="仿宋_GB2312" w:hAnsi="仿宋_GB2312" w:cs="仿宋_GB2312" w:eastAsia="仿宋_GB2312"/>
                      <w:sz w:val="18"/>
                      <w:color w:val="000000"/>
                    </w:rPr>
                    <w:t>。</w:t>
                  </w: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4"/>
              <w:gridCol w:w="94"/>
              <w:gridCol w:w="87"/>
              <w:gridCol w:w="1986"/>
              <w:gridCol w:w="20"/>
            </w:tblGrid>
            <w:tr>
              <w:tc>
                <w:tcPr>
                  <w:tcW w:type="dxa" w:w="1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25"/>
                    <w:jc w:val="center"/>
                  </w:pPr>
                  <w:r>
                    <w:rPr>
                      <w:rFonts w:ascii="仿宋_GB2312" w:hAnsi="仿宋_GB2312" w:cs="仿宋_GB2312" w:eastAsia="仿宋_GB2312"/>
                      <w:sz w:val="18"/>
                      <w:color w:val="000000"/>
                    </w:rPr>
                    <w:t>政飞云平台</w:t>
                  </w:r>
                  <w:r>
                    <w:rPr>
                      <w:rFonts w:ascii="仿宋_GB2312" w:hAnsi="仿宋_GB2312" w:cs="仿宋_GB2312" w:eastAsia="仿宋_GB2312"/>
                      <w:sz w:val="18"/>
                      <w:color w:val="000000"/>
                    </w:rPr>
                    <w:t>“一张图”指挥中心</w:t>
                  </w:r>
                </w:p>
              </w:tc>
              <w:tc>
                <w:tcPr>
                  <w:tcW w:type="dxa" w:w="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rFonts w:ascii="仿宋_GB2312" w:hAnsi="仿宋_GB2312" w:cs="仿宋_GB2312" w:eastAsia="仿宋_GB2312"/>
                      <w:sz w:val="18"/>
                      <w:color w:val="000000"/>
                    </w:rPr>
                    <w:t>1</w:t>
                  </w:r>
                </w:p>
              </w:tc>
              <w:tc>
                <w:tcPr>
                  <w:tcW w:type="dxa" w:w="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rFonts w:ascii="仿宋_GB2312" w:hAnsi="仿宋_GB2312" w:cs="仿宋_GB2312" w:eastAsia="仿宋_GB2312"/>
                      <w:sz w:val="18"/>
                      <w:color w:val="000000"/>
                    </w:rPr>
                    <w:t>套</w:t>
                  </w:r>
                </w:p>
              </w:tc>
              <w:tc>
                <w:tcPr>
                  <w:tcW w:type="dxa" w:w="1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b/>
                      <w:color w:val="000000"/>
                    </w:rPr>
                    <w:t>1指挥调度平台</w:t>
                  </w:r>
                </w:p>
                <w:tbl>
                  <w:tblPr>
                    <w:tblBorders>
                      <w:top w:val="none" w:color="000000" w:sz="4"/>
                      <w:left w:val="none" w:color="000000" w:sz="4"/>
                      <w:bottom w:val="none" w:color="000000" w:sz="4"/>
                      <w:right w:val="none" w:color="000000" w:sz="4"/>
                      <w:insideH w:val="none"/>
                      <w:insideV w:val="none"/>
                    </w:tblBorders>
                  </w:tblPr>
                  <w:tblGrid>
                    <w:gridCol w:w="186"/>
                    <w:gridCol w:w="1583"/>
                  </w:tblGrid>
                  <w:tr>
                    <w:tc>
                      <w:tcPr>
                        <w:tcW w:type="dxa" w:w="1769"/>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指挥调度</w:t>
                        </w:r>
                      </w:p>
                    </w:tc>
                  </w:tr>
                  <w:tr>
                    <w:tc>
                      <w:tcPr>
                        <w:tcW w:type="dxa" w:w="18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功能名称</w:t>
                        </w:r>
                      </w:p>
                    </w:tc>
                    <w:tc>
                      <w:tcPr>
                        <w:tcW w:type="dxa" w:w="158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具体内容</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态势感知</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机场统计：总数、作业中、空闲中、离线中</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无人机统计：总数、作业中、空闲中、离线中</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飞手统计：总数、作业中、空闲中、离岗中</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今日飞行任务统计：总数、已完成、执行中</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今日事件统计：事件类型及数量</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今日成果统计：图片、视频、全景、航测</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视频直播</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视频展示：多台无人机同时直播画面，包括单画面、四画面、九画面的多种展示方式</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监控地图：支持在地图上展示设备位置以及设备状态。</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飞行任务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任务分配方式：机场任务、飞手任务</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近七天任务完成统计：智能巡查、建图采集、一键起飞、接警侦察、倾斜摄影</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按部门统计任务排行</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按时间段统计：每</w:t>
                        </w:r>
                        <w:r>
                          <w:rPr>
                            <w:rFonts w:ascii="仿宋_GB2312" w:hAnsi="仿宋_GB2312" w:cs="仿宋_GB2312" w:eastAsia="仿宋_GB2312"/>
                            <w:sz w:val="18"/>
                            <w:color w:val="000000"/>
                          </w:rPr>
                          <w:t>4小时一次</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任务管理：任务编号</w:t>
                        </w:r>
                        <w:r>
                          <w:rPr>
                            <w:rFonts w:ascii="仿宋_GB2312" w:hAnsi="仿宋_GB2312" w:cs="仿宋_GB2312" w:eastAsia="仿宋_GB2312"/>
                            <w:sz w:val="18"/>
                            <w:color w:val="000000"/>
                          </w:rPr>
                          <w:t>/航线名称、执行状态、开始时间-结束时间、航线类型</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经纬度位置</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地图工具：长度、面积、体积、可视域、清除</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引擎工具：</w:t>
                        </w:r>
                        <w:r>
                          <w:rPr>
                            <w:rFonts w:ascii="仿宋_GB2312" w:hAnsi="仿宋_GB2312" w:cs="仿宋_GB2312" w:eastAsia="仿宋_GB2312"/>
                            <w:sz w:val="18"/>
                            <w:color w:val="000000"/>
                          </w:rPr>
                          <w:t>3D地形、地图引擎</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图层管理：航线覆盖的面积</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范围线</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标注管理：机场所在位置</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计划编排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按计划统计类型：立即执行、单次定时、重复定时</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按机场统计：本日、本月、本年</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按计划任务类型统计：智能巡查、建图采集、一键起飞</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事件分析</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按事件区域统计事件数量</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按事件标签统计事件数量</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按事件状态统计：本周、本月、本年</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按事件提取方式统计：本周、本月、本年、对比识别、</w:t>
                        </w:r>
                        <w:r>
                          <w:rPr>
                            <w:rFonts w:ascii="仿宋_GB2312" w:hAnsi="仿宋_GB2312" w:cs="仿宋_GB2312" w:eastAsia="仿宋_GB2312"/>
                            <w:sz w:val="18"/>
                            <w:color w:val="000000"/>
                          </w:rPr>
                          <w:t>ai识别、人工提报、飞行素材、设备事件</w:t>
                        </w:r>
                      </w:p>
                    </w:tc>
                  </w:tr>
                  <w:tr>
                    <w:tc>
                      <w:tcPr>
                        <w:tcW w:type="dxa" w:w="186"/>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事件列表：时间编号、时间来源、开始时间</w:t>
                        </w:r>
                        <w:r>
                          <w:rPr>
                            <w:rFonts w:ascii="仿宋_GB2312" w:hAnsi="仿宋_GB2312" w:cs="仿宋_GB2312" w:eastAsia="仿宋_GB2312"/>
                            <w:sz w:val="18"/>
                            <w:color w:val="000000"/>
                          </w:rPr>
                          <w:t>-结束时间、事件标签</w:t>
                        </w:r>
                      </w:p>
                    </w:tc>
                  </w:tr>
                </w:tbl>
                <w:p>
                  <w:pPr>
                    <w:pStyle w:val="null3"/>
                    <w:spacing w:before="75"/>
                    <w:ind w:left="15"/>
                  </w:pPr>
                  <w:r>
                    <w:rPr>
                      <w:rFonts w:ascii="仿宋_GB2312" w:hAnsi="仿宋_GB2312" w:cs="仿宋_GB2312" w:eastAsia="仿宋_GB2312"/>
                      <w:sz w:val="18"/>
                      <w:b/>
                      <w:color w:val="000000"/>
                    </w:rPr>
                    <w:t>2业务中台</w:t>
                  </w:r>
                </w:p>
                <w:tbl>
                  <w:tblPr>
                    <w:tblBorders>
                      <w:top w:val="none" w:color="000000" w:sz="4"/>
                      <w:left w:val="none" w:color="000000" w:sz="4"/>
                      <w:bottom w:val="none" w:color="000000" w:sz="4"/>
                      <w:right w:val="none" w:color="000000" w:sz="4"/>
                      <w:insideH w:val="none"/>
                      <w:insideV w:val="none"/>
                    </w:tblBorders>
                  </w:tblPr>
                  <w:tblGrid>
                    <w:gridCol w:w="194"/>
                    <w:gridCol w:w="1575"/>
                  </w:tblGrid>
                  <w:tr>
                    <w:tc>
                      <w:tcPr>
                        <w:tcW w:type="dxa" w:w="1769"/>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业务中台</w:t>
                        </w:r>
                      </w:p>
                    </w:tc>
                  </w:tr>
                  <w:tr>
                    <w:tc>
                      <w:tcPr>
                        <w:tcW w:type="dxa" w:w="194"/>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功能名称</w:t>
                        </w:r>
                      </w:p>
                    </w:tc>
                    <w:tc>
                      <w:tcPr>
                        <w:tcW w:type="dxa" w:w="157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具体内容</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工作台</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系统人员</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飞手人员</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指挥中心人数</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设备总数</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在线数</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掉线数</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设备统计：机库、无人机、负载设备</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飞行统计：飞行距离、任务时长</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通知中心</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预警统计：提醒、警告、通知</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部门考核</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个人考核</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需求管理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待审核</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待接收</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待执行</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执行中</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已结束</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已终止</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设备管理：所属机场的设备信息</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维保记录</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设备保险</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电池管理</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流量卡台账</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飞手管理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签到管理：平台账号拥有者的信息</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资源管理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标注管理：地理位置标注</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空域管理：禁飞区与工作区管理</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数据统计</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联合行动报告</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报告统计：每次飞行报告</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飞行统计：飞行信息汇总、飞行距离</w:t>
                        </w:r>
                        <w:r>
                          <w:rPr>
                            <w:rFonts w:ascii="仿宋_GB2312" w:hAnsi="仿宋_GB2312" w:cs="仿宋_GB2312" w:eastAsia="仿宋_GB2312"/>
                            <w:sz w:val="18"/>
                            <w:color w:val="000000"/>
                          </w:rPr>
                          <w:t>/时长统计、飞行事件、核准事件、飞行距离排名、飞行时长排名、飞行架次排名</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飞手统计：飞手信息</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需求统计：需求任务统计、组织维度统计</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考核统计：考核汇总、组织单项考核排名、个人单项考核排名</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任务统计：总览、任务类型、任务分配、任务发起人、任务数量</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项目设置</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个性化配置：导航页修改、项目名称、项目</w:t>
                        </w:r>
                        <w:r>
                          <w:rPr>
                            <w:rFonts w:ascii="仿宋_GB2312" w:hAnsi="仿宋_GB2312" w:cs="仿宋_GB2312" w:eastAsia="仿宋_GB2312"/>
                            <w:sz w:val="18"/>
                            <w:color w:val="000000"/>
                          </w:rPr>
                          <w:t>logo、导航页背景图、导航栏文字、底部声明</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地图配置：地图中心点坐标、默认地图缩放比例、地图设置、搜索引擎</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分享配置：素材、全景、直播、成果</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组织个性化展示：组织架构、选择组织</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总览导航</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用户管理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账号管理：账号权限更改</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组织架构：</w:t>
                        </w:r>
                        <w:r>
                          <w:rPr>
                            <w:rFonts w:ascii="仿宋_GB2312" w:hAnsi="仿宋_GB2312" w:cs="仿宋_GB2312" w:eastAsia="仿宋_GB2312"/>
                            <w:sz w:val="18"/>
                            <w:color w:val="000000"/>
                          </w:rPr>
                          <w:t>id、组织名称、组织类型、费用折扣、新增时间、操作</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日志管理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登录日志：账号登录推出具体信息</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操作日志</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回收站：被删除的数据（</w:t>
                        </w:r>
                        <w:r>
                          <w:rPr>
                            <w:rFonts w:ascii="仿宋_GB2312" w:hAnsi="仿宋_GB2312" w:cs="仿宋_GB2312" w:eastAsia="仿宋_GB2312"/>
                            <w:sz w:val="18"/>
                            <w:color w:val="000000"/>
                          </w:rPr>
                          <w:t>15天内可恢复）</w:t>
                        </w:r>
                      </w:p>
                    </w:tc>
                  </w:tr>
                  <w:tr>
                    <w:tc>
                      <w:tcPr>
                        <w:tcW w:type="dxa" w:w="194"/>
                        <w:vMerge/>
                        <w:tcBorders>
                          <w:top w:val="none" w:color="000000" w:sz="4"/>
                          <w:left w:val="singl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模型维护</w:t>
                        </w:r>
                      </w:p>
                    </w:tc>
                  </w:tr>
                </w:tbl>
                <w:p>
                  <w:pPr>
                    <w:pStyle w:val="null3"/>
                    <w:spacing w:before="75"/>
                    <w:ind w:left="15"/>
                  </w:pPr>
                  <w:r>
                    <w:rPr>
                      <w:rFonts w:ascii="仿宋_GB2312" w:hAnsi="仿宋_GB2312" w:cs="仿宋_GB2312" w:eastAsia="仿宋_GB2312"/>
                      <w:sz w:val="18"/>
                      <w:b/>
                      <w:color w:val="000000"/>
                    </w:rPr>
                    <w:t>3飞控中心平台</w:t>
                  </w:r>
                </w:p>
                <w:tbl>
                  <w:tblPr>
                    <w:tblBorders>
                      <w:top w:val="none" w:color="000000" w:sz="4"/>
                      <w:left w:val="none" w:color="000000" w:sz="4"/>
                      <w:bottom w:val="none" w:color="000000" w:sz="4"/>
                      <w:right w:val="none" w:color="000000" w:sz="4"/>
                      <w:insideH w:val="none"/>
                      <w:insideV w:val="none"/>
                    </w:tblBorders>
                  </w:tblPr>
                  <w:tblGrid>
                    <w:gridCol w:w="190"/>
                    <w:gridCol w:w="1576"/>
                  </w:tblGrid>
                  <w:tr>
                    <w:tc>
                      <w:tcPr>
                        <w:tcW w:type="dxa" w:w="1766"/>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飞控中心</w:t>
                        </w:r>
                      </w:p>
                    </w:tc>
                  </w:tr>
                  <w:tr>
                    <w:tc>
                      <w:tcPr>
                        <w:tcW w:type="dxa" w:w="190"/>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功能名称</w:t>
                        </w:r>
                      </w:p>
                    </w:tc>
                    <w:tc>
                      <w:tcPr>
                        <w:tcW w:type="dxa" w:w="157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具体内容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无人机机场及设备信息：全部、空闲中、作业中、离线中、调试中</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航线</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展示不同机场及航线，可对上航线进行编辑、删除、导出、复制和关联。</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计划</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是对已有航线的起飞时间进行规划、执行和终止操作</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飞行过的所有任务：可回看、上报、下载视频文件、通过链接进行分享、生成飞行报告</w:t>
                        </w:r>
                        <w:r>
                          <w:br/>
                        </w:r>
                        <w:r>
                          <w:rPr>
                            <w:rFonts w:ascii="仿宋_GB2312" w:hAnsi="仿宋_GB2312" w:cs="仿宋_GB2312" w:eastAsia="仿宋_GB2312"/>
                            <w:sz w:val="18"/>
                            <w:color w:val="000000"/>
                          </w:rPr>
                          <w:t>根据飞行任务生成巡查报告：可自主选择所属机场、时间、事件自动生成相应报告</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素材</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飞行航线的具体信息：任务编号、航线名称、任务类型、任务来源、照片、视频、全景、文件大小、事件数量、任务执行事件、素材推送、警情编号、操作</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空域</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禁飞区管理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模板</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航点模式、一键起飞</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标注</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对具体位置信息进行标注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分享</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对分享过的任务进行记录：标题名称、分享类型、加密类型、链接状态、分享时间、链接、操作</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报表</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对任务编号、开始日期</w:t>
                        </w:r>
                        <w:r>
                          <w:rPr>
                            <w:rFonts w:ascii="仿宋_GB2312" w:hAnsi="仿宋_GB2312" w:cs="仿宋_GB2312" w:eastAsia="仿宋_GB2312"/>
                            <w:sz w:val="18"/>
                            <w:color w:val="000000"/>
                          </w:rPr>
                          <w:t>-结束日期、任务类型、所属机场进行查询</w:t>
                        </w:r>
                      </w:p>
                    </w:tc>
                  </w:tr>
                </w:tbl>
                <w:p>
                  <w:pPr>
                    <w:pStyle w:val="null3"/>
                  </w:pPr>
                  <w:r>
                    <w:rPr>
                      <w:rFonts w:ascii="仿宋_GB2312" w:hAnsi="仿宋_GB2312" w:cs="仿宋_GB2312" w:eastAsia="仿宋_GB2312"/>
                      <w:sz w:val="18"/>
                      <w:b/>
                      <w:color w:val="000000"/>
                    </w:rPr>
                    <w:t>4接警侦查</w:t>
                  </w:r>
                </w:p>
                <w:tbl>
                  <w:tblPr>
                    <w:tblBorders>
                      <w:top w:val="none" w:color="000000" w:sz="4"/>
                      <w:left w:val="none" w:color="000000" w:sz="4"/>
                      <w:bottom w:val="none" w:color="000000" w:sz="4"/>
                      <w:right w:val="none" w:color="000000" w:sz="4"/>
                      <w:insideH w:val="none"/>
                      <w:insideV w:val="none"/>
                    </w:tblBorders>
                  </w:tblPr>
                  <w:tblGrid>
                    <w:gridCol w:w="186"/>
                    <w:gridCol w:w="1583"/>
                  </w:tblGrid>
                  <w:tr>
                    <w:tc>
                      <w:tcPr>
                        <w:tcW w:type="dxa" w:w="1769"/>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接警侦察</w:t>
                        </w:r>
                      </w:p>
                    </w:tc>
                  </w:tr>
                  <w:tr>
                    <w:tc>
                      <w:tcPr>
                        <w:tcW w:type="dxa" w:w="18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功能名称</w:t>
                        </w:r>
                      </w:p>
                    </w:tc>
                    <w:tc>
                      <w:tcPr>
                        <w:tcW w:type="dxa" w:w="158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具体内容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警情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新增警情</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模板</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任务模板配置：任务模板名称、添加模板，可以对已有模板进行编辑</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配置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事件配置、机场配置、警情配置、沿线安全高度设置、字段配置、自定义报表配置</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分类</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事件分类管理：类型名称、类型编码、创建时间、类型来源</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记录</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接警记录：序号、警情</w:t>
                        </w:r>
                        <w:r>
                          <w:rPr>
                            <w:rFonts w:ascii="仿宋_GB2312" w:hAnsi="仿宋_GB2312" w:cs="仿宋_GB2312" w:eastAsia="仿宋_GB2312"/>
                            <w:sz w:val="18"/>
                            <w:color w:val="000000"/>
                          </w:rPr>
                          <w:t>ID、任务编号、警情来源、位置（里程）紧急程度、警情类型、警情描述、警情时间、接收时间、执行飞行任务、操作</w:t>
                        </w:r>
                      </w:p>
                    </w:tc>
                  </w:tr>
                </w:tbl>
                <w:p>
                  <w:pPr>
                    <w:pStyle w:val="null3"/>
                  </w:pPr>
                  <w:r>
                    <w:rPr>
                      <w:rFonts w:ascii="仿宋_GB2312" w:hAnsi="仿宋_GB2312" w:cs="仿宋_GB2312" w:eastAsia="仿宋_GB2312"/>
                      <w:sz w:val="18"/>
                      <w:b/>
                      <w:color w:val="000000"/>
                    </w:rPr>
                    <w:t>5建图采集</w:t>
                  </w:r>
                </w:p>
                <w:tbl>
                  <w:tblPr>
                    <w:tblBorders>
                      <w:top w:val="none" w:color="000000" w:sz="4"/>
                      <w:left w:val="none" w:color="000000" w:sz="4"/>
                      <w:bottom w:val="none" w:color="000000" w:sz="4"/>
                      <w:right w:val="none" w:color="000000" w:sz="4"/>
                      <w:insideH w:val="none"/>
                      <w:insideV w:val="none"/>
                    </w:tblBorders>
                  </w:tblPr>
                  <w:tblGrid>
                    <w:gridCol w:w="190"/>
                    <w:gridCol w:w="1579"/>
                  </w:tblGrid>
                  <w:tr>
                    <w:tc>
                      <w:tcPr>
                        <w:tcW w:type="dxa" w:w="1769"/>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建图采集</w:t>
                        </w:r>
                      </w:p>
                    </w:tc>
                  </w:tr>
                  <w:tr>
                    <w:tc>
                      <w:tcPr>
                        <w:tcW w:type="dxa" w:w="190"/>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功能名称</w:t>
                        </w:r>
                      </w:p>
                    </w:tc>
                    <w:tc>
                      <w:tcPr>
                        <w:tcW w:type="dxa" w:w="157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具体内容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可以查看采集成果、日志、详情信息</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可以在线查看采集的图片信息，支持打包下载支持将多个任务的影像资料合并成一个任务成果</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成果</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查看已生成的二维正射图及三维倾斜模型，支持在线预览成果效果并支持选择多个成果数据进行分屏比对预览</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全景管理</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支持用户在线查看、重命名、定位、搜索全景照片</w:t>
                        </w:r>
                      </w:p>
                    </w:tc>
                  </w:tr>
                </w:tbl>
                <w:p>
                  <w:pPr>
                    <w:pStyle w:val="null3"/>
                  </w:pPr>
                  <w:r>
                    <w:rPr>
                      <w:rFonts w:ascii="仿宋_GB2312" w:hAnsi="仿宋_GB2312" w:cs="仿宋_GB2312" w:eastAsia="仿宋_GB2312"/>
                      <w:sz w:val="18"/>
                      <w:b/>
                      <w:color w:val="000000"/>
                    </w:rPr>
                    <w:t>6对比标注</w:t>
                  </w:r>
                </w:p>
                <w:tbl>
                  <w:tblPr>
                    <w:tblBorders>
                      <w:top w:val="none" w:color="000000" w:sz="4"/>
                      <w:left w:val="none" w:color="000000" w:sz="4"/>
                      <w:bottom w:val="none" w:color="000000" w:sz="4"/>
                      <w:right w:val="none" w:color="000000" w:sz="4"/>
                      <w:insideH w:val="none"/>
                      <w:insideV w:val="none"/>
                    </w:tblBorders>
                  </w:tblPr>
                  <w:tblGrid>
                    <w:gridCol w:w="186"/>
                    <w:gridCol w:w="1583"/>
                  </w:tblGrid>
                  <w:tr>
                    <w:tc>
                      <w:tcPr>
                        <w:tcW w:type="dxa" w:w="1769"/>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比对标注</w:t>
                        </w:r>
                      </w:p>
                    </w:tc>
                  </w:tr>
                  <w:tr>
                    <w:tc>
                      <w:tcPr>
                        <w:tcW w:type="dxa" w:w="18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功能名称</w:t>
                        </w:r>
                      </w:p>
                    </w:tc>
                    <w:tc>
                      <w:tcPr>
                        <w:tcW w:type="dxa" w:w="158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具体内容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计划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比对计划：计划名称、比对方式、比对策略、航线选择、航线类型、执行规则</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比对任务：计划名称、任务名称、航线类型、比对方式、比对策略、任务状态、创建时间</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标注</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审核状态：待审核、已审核、未通过</w:t>
                        </w:r>
                        <w:r>
                          <w:br/>
                        </w:r>
                        <w:r>
                          <w:rPr>
                            <w:rFonts w:ascii="仿宋_GB2312" w:hAnsi="仿宋_GB2312" w:cs="仿宋_GB2312" w:eastAsia="仿宋_GB2312"/>
                            <w:sz w:val="18"/>
                            <w:color w:val="000000"/>
                          </w:rPr>
                          <w:t>计划名称、航线类型、比对方式、任务名称、事件类型</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推送</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推送管理：推送方式（全局推送、自定义推送）、推送方式、推送地址、备注、创建时间、操作</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资源</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资源管理：飞控平台（成果名称、航线名称、航线类型、拍摄时间）、自定义（瓦片名称、拍摄日期）、资源审核（瓦片名称、发起组织）</w:t>
                        </w:r>
                      </w:p>
                    </w:tc>
                  </w:tr>
                </w:tbl>
                <w:p>
                  <w:pPr>
                    <w:pStyle w:val="null3"/>
                  </w:pPr>
                  <w:r>
                    <w:rPr>
                      <w:rFonts w:ascii="仿宋_GB2312" w:hAnsi="仿宋_GB2312" w:cs="仿宋_GB2312" w:eastAsia="仿宋_GB2312"/>
                      <w:sz w:val="18"/>
                      <w:b/>
                      <w:color w:val="000000"/>
                    </w:rPr>
                    <w:t>7事件处置</w:t>
                  </w:r>
                </w:p>
                <w:tbl>
                  <w:tblPr>
                    <w:tblBorders>
                      <w:top w:val="none" w:color="000000" w:sz="4"/>
                      <w:left w:val="none" w:color="000000" w:sz="4"/>
                      <w:bottom w:val="none" w:color="000000" w:sz="4"/>
                      <w:right w:val="none" w:color="000000" w:sz="4"/>
                      <w:insideH w:val="none"/>
                      <w:insideV w:val="none"/>
                    </w:tblBorders>
                  </w:tblPr>
                  <w:tblGrid>
                    <w:gridCol w:w="190"/>
                    <w:gridCol w:w="1576"/>
                  </w:tblGrid>
                  <w:tr>
                    <w:tc>
                      <w:tcPr>
                        <w:tcW w:type="dxa" w:w="1766"/>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事件处置</w:t>
                        </w:r>
                      </w:p>
                    </w:tc>
                  </w:tr>
                  <w:tr>
                    <w:tc>
                      <w:tcPr>
                        <w:tcW w:type="dxa" w:w="190"/>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功能名称</w:t>
                        </w:r>
                      </w:p>
                    </w:tc>
                    <w:tc>
                      <w:tcPr>
                        <w:tcW w:type="dxa" w:w="157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具体内容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综合展示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事件搜索：时间　选择事件标签　事件来源　事件数据统计　区镇列表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事件管理</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事件管理：事件编号　选择机场　提报时间</w:t>
                        </w:r>
                        <w:r>
                          <w:br/>
                        </w:r>
                        <w:r>
                          <w:rPr>
                            <w:rFonts w:ascii="仿宋_GB2312" w:hAnsi="仿宋_GB2312" w:cs="仿宋_GB2312" w:eastAsia="仿宋_GB2312"/>
                            <w:sz w:val="18"/>
                            <w:color w:val="000000"/>
                          </w:rPr>
                          <w:t>事件进度：待巡查　处置　审核　归档</w:t>
                        </w:r>
                        <w:r>
                          <w:br/>
                        </w:r>
                        <w:r>
                          <w:rPr>
                            <w:rFonts w:ascii="仿宋_GB2312" w:hAnsi="仿宋_GB2312" w:cs="仿宋_GB2312" w:eastAsia="仿宋_GB2312"/>
                            <w:sz w:val="18"/>
                            <w:color w:val="000000"/>
                          </w:rPr>
                          <w:t>单个事件：工单编号　所属机场　提报时间　事件类型　事件来源　区域　网格　参考地址　处理期限　操作</w:t>
                        </w:r>
                        <w:r>
                          <w:rPr>
                            <w:rFonts w:ascii="仿宋_GB2312" w:hAnsi="仿宋_GB2312" w:cs="仿宋_GB2312" w:eastAsia="仿宋_GB2312"/>
                            <w:sz w:val="18"/>
                            <w:color w:val="000000"/>
                          </w:rPr>
                          <w:t>(网格　查看　更多)</w:t>
                        </w:r>
                        <w:r>
                          <w:br/>
                        </w:r>
                        <w:r>
                          <w:rPr>
                            <w:rFonts w:ascii="仿宋_GB2312" w:hAnsi="仿宋_GB2312" w:cs="仿宋_GB2312" w:eastAsia="仿宋_GB2312"/>
                            <w:sz w:val="18"/>
                            <w:color w:val="000000"/>
                          </w:rPr>
                          <w:t>事件交办：查看－事件信息－处置上报设为标记点　交办－选择相关部门　</w:t>
                        </w:r>
                      </w:p>
                    </w:tc>
                  </w:tr>
                </w:tbl>
                <w:p>
                  <w:pPr>
                    <w:pStyle w:val="null3"/>
                  </w:pPr>
                  <w:r>
                    <w:rPr>
                      <w:rFonts w:ascii="仿宋_GB2312" w:hAnsi="仿宋_GB2312" w:cs="仿宋_GB2312" w:eastAsia="仿宋_GB2312"/>
                      <w:sz w:val="18"/>
                      <w:b/>
                      <w:color w:val="000000"/>
                    </w:rPr>
                    <w:t>8.▲</w:t>
                  </w:r>
                  <w:r>
                    <w:rPr>
                      <w:rFonts w:ascii="仿宋_GB2312" w:hAnsi="仿宋_GB2312" w:cs="仿宋_GB2312" w:eastAsia="仿宋_GB2312"/>
                      <w:sz w:val="18"/>
                      <w:b/>
                      <w:color w:val="000000"/>
                    </w:rPr>
                    <w:t>算法中心</w:t>
                  </w:r>
                </w:p>
                <w:p>
                  <w:pPr>
                    <w:pStyle w:val="null3"/>
                  </w:pPr>
                  <w:r>
                    <w:rPr>
                      <w:rFonts w:ascii="仿宋_GB2312" w:hAnsi="仿宋_GB2312" w:cs="仿宋_GB2312" w:eastAsia="仿宋_GB2312"/>
                      <w:sz w:val="18"/>
                      <w:color w:val="000000"/>
                    </w:rPr>
                    <w:t>-为了使平台算法稳定，供应商提供的算法须已入围无人机厂商的官方生态库，并提供有效的入围证明材料（如证书、官网公示截图或合作协议）。</w:t>
                  </w:r>
                </w:p>
                <w:tbl>
                  <w:tblPr>
                    <w:tblBorders>
                      <w:top w:val="none" w:color="000000" w:sz="4"/>
                      <w:left w:val="none" w:color="000000" w:sz="4"/>
                      <w:bottom w:val="none" w:color="000000" w:sz="4"/>
                      <w:right w:val="none" w:color="000000" w:sz="4"/>
                      <w:insideH w:val="none"/>
                      <w:insideV w:val="none"/>
                    </w:tblBorders>
                  </w:tblPr>
                  <w:tblGrid>
                    <w:gridCol w:w="186"/>
                    <w:gridCol w:w="1579"/>
                  </w:tblGrid>
                  <w:tr>
                    <w:tc>
                      <w:tcPr>
                        <w:tcW w:type="dxa" w:w="1765"/>
                        <w:gridSpan w:val="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算法中心</w:t>
                        </w:r>
                      </w:p>
                    </w:tc>
                  </w:tr>
                  <w:tr>
                    <w:tc>
                      <w:tcPr>
                        <w:tcW w:type="dxa" w:w="186"/>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功能名称</w:t>
                        </w:r>
                      </w:p>
                    </w:tc>
                    <w:tc>
                      <w:tcPr>
                        <w:tcW w:type="dxa" w:w="157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具体内容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识别算法</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识别算法：算法类型　算法名称　关联应用　算法描述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电子围栏</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新增围栏　新增文件夹　批量导入</w:t>
                        </w:r>
                      </w:p>
                    </w:tc>
                  </w:tr>
                </w:tbl>
                <w:p>
                  <w:pPr>
                    <w:pStyle w:val="null3"/>
                    <w:spacing w:before="75"/>
                  </w:pPr>
                </w:p>
              </w:tc>
              <w:tc>
                <w:tcPr>
                  <w:tcW w:type="dxa" w:w="2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交付期30天、设备质保期3年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质保期满后</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自合同签订之日起连续36个自然月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后:中标供应商向代理机构提交纸质投标⽂件叁份、分别胶装，加盖骑缝章，电⼦版U盘贰份:内容和通过电⼦化⽂易平台实施的政府采购项⽬提⽂的投标⽂件⼀致。2、保证⾦若以⾦融机构、担保机构出具的保函形式则须在开标前⼀个⼯作⽇告知采购代理机构（联系⽅式：0916-2610065/邮箱：1042853189@qq.com）。3、合同支付约定由于系统显示不全，现明确为:1.付款条件说明:合同签订后，达到付款条件起30日内，支付合同总金额的60.00%.2.付款条件说明:验收合格后,达到付款条件起30日内，支付合同总金额的30.00%.3.付款条件说明:质保期满后，达到付款条件起30日内，支付合同总金额的10.00%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 ；拟参与本项目的供应商应按照汉中市财政局《关于全面推行政府采购供应商基本资格条件承诺制的通知》(汉财办采管(2024)20号)文件要求，提供满足相应条件的资格承诺函；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所投产品技术参数规格明确，满足采购人使用的需求，对每项产品参数都进行明确响应，满足招标文件要求计20分。带“▲”的参数指标有一项负偏离扣1.5分，扣完为止。 其它参数指标有一项负偏离扣1分，扣完为止。 备注： 1.参数提供充足且在有效期内的佐证材料（包括但不限于生产厂家对外公开发布印刷彩页或技术白皮书或第三方检测报告或系统截图等证明材料）若有提供虚假参数及材料应标的，经查实将按照有关法律规定进行严肃处理。 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供应商针对本项目制订具体的设计方案，包括但不限于：①应用系统设计；②安全系统设计；③网络系统设计；④系统部署设计。 以上各项内容全面详细、阐述条理清晰详尽、符合本项目采购需求，功能配置合理，能有效保障本项目实施的得8分，每缺一项扣2分，每项中的内容存在缺陷，扣0.1-1.9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供应商针对本项目制订具体的实施方案，包括但不限于：①对项目的整体理解；②采用的技术标准和规范；③技术路线及工作方案；④供货组织安排、安装、检测、调试、验收措施；⑤项目成果内容。 以上各项内容全面详细、阐述条理清晰详尽、符合本项目采购需求，功能配置合理，能有效保障本项目实施的得10分，每缺一项扣2分，每项中的内容存在缺陷，扣0.1-1.9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1、供应商针对本项目制订具体的方案，包括但不限于：①项目实施步骤、进度计划及保证措施；②项目实施过程中安全保障措施；③项目成果质量保障措施；④项目成果保密管理措施； 以上各项内容全面详细、阐述条理清晰详尽、符合本项目采购需求，功能配置合理，能有效保障本项目实施的得6分，每缺一项扣1.5分，每项中的内容存在缺陷，扣0.1-1.4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 2、为保障整体项目实施成果可转化、可运营，供应商具有民用无人驾驶航空器运营合格证的，得2分。 3、为保障项目前期沟通交流、业务培训等工作顺利开展，供应商承诺提供为期1年的驻场人员（至少2名）服务，得2分。注：供应商须提供加盖公章的驻场服务承诺函及人员相关证件，未按要求提供或未加盖公章的不予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售后服务及响应</w:t>
            </w:r>
          </w:p>
        </w:tc>
        <w:tc>
          <w:tcPr>
            <w:tcW w:type="dxa" w:w="2492"/>
          </w:tcPr>
          <w:p>
            <w:pPr>
              <w:pStyle w:val="null3"/>
            </w:pPr>
            <w:r>
              <w:rPr>
                <w:rFonts w:ascii="仿宋_GB2312" w:hAnsi="仿宋_GB2312" w:cs="仿宋_GB2312" w:eastAsia="仿宋_GB2312"/>
              </w:rPr>
              <w:t>供应商有专业的售后服务团队，制定详细的供应商上门售后服务方案，包括但不限于：①服务承诺；②服务人员、服务机构及地点；③服务内容；④响应时间；⑤应急措施 。 以上各项内容全面详细、阐述条理清晰得5分，每缺一项扣1分，每项中的内容存在缺陷，扣0.1-0.9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供应商针对本项目具有详细可行的免费技术培训方案，包括但不限于: ①培训采购人指定的技术人员和管理人员；②培训讲师安排；③制定培训课程计划表；④培训内容应包括产品原理，产品操作，保养维修，一般故障排除等技术；⑤培训效果反馈。 以上各项内容全面明确、阐述条理清晰得5分，每缺一项扣1分，每项中的内容存在缺陷，扣0.1-0.9分，扣完为止。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供应商应提供2023年1月1日以来完成的类似业绩，每份得2.5分，最高5分。 注：业绩认定证明材料须提供中标通知书或项目合同(提供认定材料需体现产品信息和签字盖章页面)。同一项目不得重复计分，业绩认定时间以合同签订或中标通知书时间为准，提供不全不得分。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①项目负责人1人（2分） 要求：项目负责人同时满足以下条件得2分，少1项扣1分，本项扣完为止： 具备高级通信工程师证书、中级系统集成项目管理工程师、中级人力管理师； ②技术负责人1人（1分） 要求：技术负责人应满足以下条件得1分，否则不得分： 具备高级信息系统项目管理师证书； ③信息安全人员1人（1分） 要求：信息安全人员需具备注册信息安全工程师证书；满足得1分，否则不得分。 ④软件设计人员1人（1分） 要求：软件设计人员需具备中级（或以上）资格软件设计师证书，满足得1分，否则不得分。 ⑤实施工程师1人（1分） 要求：具备国家网络工程师中级证书、人工智能应用工程师证书，满足1项得0.5分，不满足不得分。 ⑥数据分析人员1人（1分） 要求：需具备高级数据分析师、中级软件评测师证书，满足1项得0.5分，不满足不得分。 注：以上人员需提供学历证明、相关证书复印件及投标截止时间近一年内连续3个月的社保缴纳证明。 项目负责人与技术负责人不得为同一人。 所有证明材料须加盖投标人公章，未提供或不符合要求的，相应分值不予计算。 本项得分累计不超过7分。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3、不享有政策优惠条件的供应商报价得分=（评标基准价/投标报价）×30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