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版本号：ZMZB2026XJD-18420260603001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雁塔校区学生公寓屋面防水维修项目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ZMZB2026XJD-184</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雁塔校区学生公寓屋面防水维修项目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ZMZB2026XJD-184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雁塔校区学生公寓屋面防水维修项目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雁塔校区学生公寓屋面防水维修项目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采购包1（雁塔校区学生公寓屋面防水维修项目）：属于专门面向中小企业采购。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7、法定代表人委托授权书：非法定代表人参加磋商的，须提供法定代表人委托授权书，法定代表人参加磋商时,只须提供法定代表人身份证</w:t>
      </w:r>
    </w:p>
    <w:p>
      <w:pPr>
        <w:pStyle w:val="null3"/>
      </w:pPr>
      <w:r>
        <w:rPr>
          <w:rFonts w:ascii="仿宋_GB2312" w:hAnsi="仿宋_GB2312" w:cs="仿宋_GB2312" w:eastAsia="仿宋_GB2312"/>
        </w:rPr>
        <w:t>8、施工资质：具备防水防腐保温工程专业承包二级及以上资质，同时具备有效期内的安全生产许可证</w:t>
      </w:r>
    </w:p>
    <w:p>
      <w:pPr>
        <w:pStyle w:val="null3"/>
      </w:pPr>
      <w:r>
        <w:rPr>
          <w:rFonts w:ascii="仿宋_GB2312" w:hAnsi="仿宋_GB2312" w:cs="仿宋_GB2312" w:eastAsia="仿宋_GB2312"/>
        </w:rPr>
        <w:t>9、外地企业备案：外地企业提供在“陕西省建筑市场监管与诚信信息一体化平台”上登记的基本信息界面截图</w:t>
      </w:r>
    </w:p>
    <w:p>
      <w:pPr>
        <w:pStyle w:val="null3"/>
      </w:pPr>
      <w:r>
        <w:rPr>
          <w:rFonts w:ascii="仿宋_GB2312" w:hAnsi="仿宋_GB2312" w:cs="仿宋_GB2312" w:eastAsia="仿宋_GB2312"/>
        </w:rPr>
        <w:t>10、项目经理：拟投入的项目经理须提供在本单位注册的建筑工程专业贰级（含贰级）以上注册建造师证书及有效的安全生产考核合格证，且未担任其他在建工程项目的项目经理（提供无在建工程的承诺函）</w:t>
      </w:r>
    </w:p>
    <w:p>
      <w:pPr>
        <w:pStyle w:val="null3"/>
      </w:pPr>
      <w:r>
        <w:rPr>
          <w:rFonts w:ascii="仿宋_GB2312" w:hAnsi="仿宋_GB2312" w:cs="仿宋_GB2312" w:eastAsia="仿宋_GB2312"/>
        </w:rPr>
        <w:t>11、非联合体投标：提供非联合体投标声明函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采购包1：1,928,800.00元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防水卷材、防水涂料</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100万元（不含）以下的项目中标服务费参照国家发展和改革委员会《招标代理服务收费暂行办法》（计价格[2002]1980 号）文件规定标准计取，100万元（含）以上的项目中标服务费参照国家发展和改革委员会《招标代理服务收费暂行办法》（计价格[2002]1980 号）文件规定标准75%计取。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踏勘时间：2026-06-11 10:00:00</w:t>
            </w:r>
          </w:p>
          <w:p>
            <w:pPr>
              <w:pStyle w:val="null3"/>
              <w:ind w:firstLine="975"/>
            </w:pPr>
            <w:r>
              <w:rPr>
                <w:rFonts w:ascii="仿宋_GB2312" w:hAnsi="仿宋_GB2312" w:cs="仿宋_GB2312" w:eastAsia="仿宋_GB2312"/>
              </w:rPr>
              <w:t>踏勘地点：西安建筑科技大学雁塔校区北院4#公寓门前</w:t>
            </w:r>
          </w:p>
          <w:p>
            <w:pPr>
              <w:pStyle w:val="null3"/>
              <w:ind w:firstLine="975"/>
            </w:pPr>
            <w:r>
              <w:rPr>
                <w:rFonts w:ascii="仿宋_GB2312" w:hAnsi="仿宋_GB2312" w:cs="仿宋_GB2312" w:eastAsia="仿宋_GB2312"/>
              </w:rPr>
              <w:t>联系人：董菊莉 吴敉</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1,928,800.00</w:t>
      </w:r>
    </w:p>
    <w:p>
      <w:pPr>
        <w:pStyle w:val="null3"/>
      </w:pPr>
      <w:r>
        <w:rPr>
          <w:rFonts w:ascii="仿宋_GB2312" w:hAnsi="仿宋_GB2312" w:cs="仿宋_GB2312" w:eastAsia="仿宋_GB2312"/>
        </w:rPr>
        <w:t>采购包最高限价（元）: 1,928,800.00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雁塔校区学生公寓屋面防水维修项目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1,928,800.00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标的名称：雁塔校区学生公寓屋面防水维修项目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项目概况</w:t>
            </w:r>
            <w:r>
              <w:rPr>
                <w:rFonts w:ascii="仿宋_GB2312" w:hAnsi="仿宋_GB2312" w:cs="仿宋_GB2312" w:eastAsia="仿宋_GB2312"/>
                <w:sz w:val="20"/>
              </w:rPr>
              <w:t>：</w:t>
            </w:r>
          </w:p>
          <w:p>
            <w:pPr>
              <w:pStyle w:val="null3"/>
            </w:pPr>
            <w:r>
              <w:rPr>
                <w:rFonts w:ascii="仿宋_GB2312" w:hAnsi="仿宋_GB2312" w:cs="仿宋_GB2312" w:eastAsia="仿宋_GB2312"/>
                <w:sz w:val="20"/>
              </w:rPr>
              <w:t>我校雁塔校区</w:t>
            </w:r>
            <w:r>
              <w:rPr>
                <w:rFonts w:ascii="仿宋_GB2312" w:hAnsi="仿宋_GB2312" w:cs="仿宋_GB2312" w:eastAsia="仿宋_GB2312"/>
                <w:sz w:val="20"/>
              </w:rPr>
              <w:t>2#、3#A、3#B、4#学生公寓自楼宇交付以来，屋面防水未进行大面积维修，至今已经投用20余年。现存在较为严重的漏水现象，为解决屋面漏水问题，计划新做上述楼宇屋面防水。质量标准执行国家、陕西省、西安市现行工程质量验评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采购范围：</w:t>
            </w:r>
          </w:p>
          <w:p>
            <w:pPr>
              <w:pStyle w:val="null3"/>
            </w:pPr>
            <w:r>
              <w:rPr>
                <w:rFonts w:ascii="仿宋_GB2312" w:hAnsi="仿宋_GB2312" w:cs="仿宋_GB2312" w:eastAsia="仿宋_GB2312"/>
                <w:sz w:val="21"/>
              </w:rPr>
              <w:t>本项目采购清单所包含全部内容</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1.《工程量清单》（或《采购清单》）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详见广联达清单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356"/>
              <w:gridCol w:w="562"/>
              <w:gridCol w:w="1368"/>
            </w:tblGrid>
            <w:tr>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材料名称</w:t>
                  </w:r>
                </w:p>
              </w:tc>
              <w:tc>
                <w:tcPr>
                  <w:tcW w:type="dxa" w:w="1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参数、标准、要求</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防水卷材</w:t>
                  </w:r>
                </w:p>
              </w:tc>
              <w:tc>
                <w:tcPr>
                  <w:tcW w:type="dxa" w:w="1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符合本项目工程量清单、施工图纸相关要求，符合</w:t>
                  </w:r>
                  <w:r>
                    <w:rPr>
                      <w:rFonts w:ascii="仿宋_GB2312" w:hAnsi="仿宋_GB2312" w:cs="仿宋_GB2312" w:eastAsia="仿宋_GB2312"/>
                      <w:sz w:val="21"/>
                    </w:rPr>
                    <w:t>国家相关标准、规范</w:t>
                  </w:r>
                </w:p>
              </w:tc>
            </w:tr>
          </w:tbl>
          <w:p>
            <w:pPr>
              <w:pStyle w:val="null3"/>
            </w:pPr>
            <w:r>
              <w:rPr>
                <w:rFonts w:ascii="仿宋_GB2312" w:hAnsi="仿宋_GB2312" w:cs="仿宋_GB2312" w:eastAsia="仿宋_GB2312"/>
                <w:sz w:val="21"/>
              </w:rPr>
              <w:t>3.本项目图纸详见附件。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质量标准：</w:t>
            </w:r>
            <w:r>
              <w:rPr>
                <w:rFonts w:ascii="仿宋_GB2312" w:hAnsi="仿宋_GB2312" w:cs="仿宋_GB2312" w:eastAsia="仿宋_GB2312"/>
                <w:sz w:val="21"/>
              </w:rPr>
              <w:t>质量标准执行国家、陕西省、西安市现行工程质量验评标准</w:t>
            </w:r>
            <w:r>
              <w:rPr>
                <w:rFonts w:ascii="仿宋_GB2312" w:hAnsi="仿宋_GB2312" w:cs="仿宋_GB2312" w:eastAsia="仿宋_GB2312"/>
                <w:sz w:val="21"/>
              </w:rPr>
              <w:t>，</w:t>
            </w:r>
            <w:r>
              <w:rPr>
                <w:rFonts w:ascii="仿宋_GB2312" w:hAnsi="仿宋_GB2312" w:cs="仿宋_GB2312" w:eastAsia="仿宋_GB2312"/>
                <w:sz w:val="21"/>
              </w:rPr>
              <w:t>施工结束后提供具有</w:t>
            </w:r>
            <w:r>
              <w:rPr>
                <w:rFonts w:ascii="仿宋_GB2312" w:hAnsi="仿宋_GB2312" w:cs="仿宋_GB2312" w:eastAsia="仿宋_GB2312"/>
                <w:sz w:val="21"/>
              </w:rPr>
              <w:t>CMA/CNAS资格的第三方检测机构空气质量检测报告</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投标报价要求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招标文件中提供的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投标人根据提供的施工图纸认真核对，并确认无误;投标人中标后，若出现招标文件中工程量清单描述与图纸不符等问题时，此部分工程量清单项的综合单价不予调整。</w:t>
            </w:r>
          </w:p>
          <w:p>
            <w:pPr>
              <w:pStyle w:val="null3"/>
            </w:pPr>
            <w:r>
              <w:rPr>
                <w:rFonts w:ascii="仿宋_GB2312" w:hAnsi="仿宋_GB2312" w:cs="仿宋_GB2312" w:eastAsia="仿宋_GB2312"/>
                <w:sz w:val="21"/>
              </w:rPr>
              <w:t>（</w:t>
            </w:r>
            <w:r>
              <w:rPr>
                <w:rFonts w:ascii="仿宋_GB2312" w:hAnsi="仿宋_GB2312" w:cs="仿宋_GB2312" w:eastAsia="仿宋_GB2312"/>
                <w:sz w:val="21"/>
              </w:rPr>
              <w:t>2）投标人投标前，应仔细勘察现场，应充分了解工程建设现状与本工程发包内容相关的实际情况，应充分考虑实际情况对投标报价的影响，任何因忽视或误解现状情况而导致的索赔、价款调整或工期延长申请将不被批准。投标人应充分考虑工程建设现状与本工程计价有关的任何因素均应考虑在投标报价中。</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符合建筑工程施工质量验收统一标准（GB50300-2013）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一、商务条款：1.工期：50天，具体以甲方开工令为准 。 2.质保期：本项目竣工验收合格通过之日起伍年； 3.实施地点：西安建筑科技大学指定地点； 4.付款方式：□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签订合同完毕，供应商无法提供预付款保函，施工满一个月，且经核算完成80%改造工程内容后，支付合同额60%进度款。工程竣工验收合格后经审计部门或其委托有工程造价咨询资质的机构审定结算后，缴纳施工水电费后，支付至审定结算价的100%；但在国家规定的保修期限内，保修责任仍由承包人继续承担。本工程的工程量据实结算，若乙方报送的原始结算价超出甲方审定结算价的3％，则乙方承担全部审计费，在结算付款时一次性扣除。5.保修要求：属于保修范围和内容的项目，承包人应在接到维修通知后，1天内派人维修。发生紧急抢修事故（如上水管跑水、爆裂，供电设施漏、断电等），承包人应在接到事故通知后 2 小时内到达事故现场并于 4 小时内完成应急维修。 注：商务要求不允许负偏离。 二、纸质文件递交：中标（成交）结果发布后，中标供应商在2个工作日内向采购代理机构提供一正一副（和上传文件保持一致的）纸质投标（响应）文件用于备案及档案保存。 三、投标保证金以电子保函形式递交需在开标前给shanxizhuoming_zb@163 .com邮箱发一份扫描件。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具备防水防腐保温工程专业承包二级及以上资质，同时具备有效期内的安全生产许可证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拟投入的项目经理须提供在本单位注册的建筑工程专业贰级（含贰级）以上注册建造师证书及有效的安全生产考核合格证，且未担任其他在建工程项目的项目经理（提供无在建工程的承诺函）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供应商资格要求.docx 实质性商务部分偏离表.docx 主要材料技术指标响应表.docx 中小企业声明函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实质性商务部分偏离表.docx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实质性商务部分偏离表.docx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合格）；已标价工程量清单扉页(仅指投标总价扉页)未加盖注册或登记在本单位的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拟派项目经理及项目组成员在项目结束前不可更换的承诺函</w:t>
            </w:r>
          </w:p>
        </w:tc>
        <w:tc>
          <w:tcPr>
            <w:tcW w:type="dxa" w:w="3322"/>
          </w:tcPr>
          <w:p>
            <w:pPr>
              <w:pStyle w:val="null3"/>
            </w:pPr>
            <w:r>
              <w:rPr>
                <w:rFonts w:ascii="仿宋_GB2312" w:hAnsi="仿宋_GB2312" w:cs="仿宋_GB2312" w:eastAsia="仿宋_GB2312"/>
              </w:rPr>
              <w:t>提供了合格的拟派项目经理及项目组成员在项目结束前不可更换的 承诺函（合格）未提供或提供的拟派项目经理及项目组成员在项目结束前不可更换的承诺函不合格（不合格）</w:t>
            </w:r>
          </w:p>
        </w:tc>
        <w:tc>
          <w:tcPr>
            <w:tcW w:type="dxa" w:w="1661"/>
          </w:tcPr>
          <w:p>
            <w:pPr>
              <w:pStyle w:val="null3"/>
            </w:pPr>
            <w:r>
              <w:rPr>
                <w:rFonts w:ascii="仿宋_GB2312" w:hAnsi="仿宋_GB2312" w:cs="仿宋_GB2312" w:eastAsia="仿宋_GB2312"/>
              </w:rPr>
              <w:t>拟派项目经理及项目组成员在项目结束前不可更换的承诺书.docx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实质性商务部分偏离表.docx 主要材料技术指标响应表.docx 供应商认为有必要说明的其他问题.docx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1、对项目实施的现场情况、难易程度、历史资料匹配、成品保护等重点、难点进行分析；根据对项目整体理解内容进行评审： 内容完备、科学、合理、针对性强得1.5分； 内容较为完备，针对性较强的得1分； 内容较为简略、基本可行得0.5分； 内容缺失严重、不合理和未提供的均不计分。 2、根据供应商针对本项目易发生质量通病、易出现安全问题、施工难度大、技术含量高的分项工程等进行说明并给出施工保障措施和专项技术方案（含主要施工工法、组织措施、检验手段等）进行评审：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内容较为简略、基本可行得0.7分； 内容缺失严重、不合理和未提供的均不计分。 3、根据供应商针对本项目影响本项目的外在因素和可能出现的问题进行分析，并制定相关应急预案或保证措施进行评审： 内容完备、科学、合理、针对性强得1.5分； 内容较为完备，针对性较强的得1分； 内容较为简略、基本可行得0.5分； 内容缺失严重、不合理和未提供的均不计分。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根据供应商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内容较为简略、基本可行得1分； 内容缺失严重、不合理和未提供的均不计分。 2、根据供应商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内容较为简略、基本可行得0.7分； 内容缺失严重、不合理和未提供的均不计分。 2、根据供应商针对本项目提供分部分项工程质量保证措施；成品保护和工程保修管理措施进行评审： 内容完备、科学、合理、针对性强得2分； 内容较为完备，针对性较强的得1.4分； 内容较为简略、基本可行得0.7分；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1、根据供应商针对本项目结合工程环境、特点分析安全隐患，给出有针对性的安全生产、文明施工、环保施工、防尘降噪等保证措施进行评审： 内容完备、科学、合理、针对性强得2分； 内容较为完备，针对性较强的得1.5分； 内容较为简略、基本可行得1分； 内容缺失严重、不合理和未提供的均不计分。 2、根据供应商针对本项目安全文明、环保施工保证体系和控制点设置合理，给出的满足国家、省市相关法规规定及采购文件要求的保护措施进行评审： 内容完备、科学、合理、针对性强得2分； 内容较为完备，针对性较强的得1.5分；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根据供应商针对本项目提供的项目人员组成，项目经理、技术负责人（职称、学历、工作年限、社保），其他项目人员构成情况（岗位设置、专业种类及能力、有技术职称的人员比例）等进行评审： 内容完备、科学、合理、针对性强得3分； 内容较为完备，针对性较强的得2分； 内容较为简略、基本可行1分；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项目组成人员.docx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供应商提供拟派项目经理自2023年1月1日至今的类似业绩证明材料，每提供1项得1分，最多得3分。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1、主要材料品牌、价格表填写完整，无缺漏项计4分；未提供或提供不全或拟投主要材料品牌不明确的本项不得分。 2、根据供应商针对本项目拟投入主要材料品牌、价格表的产品选型情况、品质进行评审： 主要材料品牌、价格表的市场应用比例高、与本次项目契合度高、为主流产品且符合相关要求，相关证明材料完整、清晰的得5分； 主要材料品牌、价格表的市场应用比例较高、与本次项目契合度较好、为较主流产品，相关证明材料较完整、较清晰的得4分； 主要材料品牌、价格表的市场应用比例中等、与本次项目契合度一般、为一般产品，相关证明材料基本完整的得3分； 主要材料品牌、价格表的市场应用比例偏低、与本次项目契合度较差，相关证明材料部分缺失的得2分； 主要材料品牌、价格表的市场占有率一般，相关证明材料不完整、缺失严重的得1分；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以上内容每提供一项得0.5分，最高得4分，不提供不计分。（以上内容需提供检测报告及相关证明材料等并加盖公章）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根据供应商提供的质保服务方案及承诺、与学校相关部门的配合协调承诺、人员安全保障承诺及优化建议等进行赋分：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详见附件：主要材料技术指标响应表.docx</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详见附件：主要材料品牌、价格表.docx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详见附件：拟派项目经理及项目组成员在项目结束前不可更换的承诺书.docx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详见附件：项目组成人员.docx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详见附件：拟派项目经理业绩.docx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