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20129F">
      <w:pPr>
        <w:pStyle w:val="6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360" w:lineRule="auto"/>
        <w:jc w:val="center"/>
        <w:rPr>
          <w:rFonts w:hint="eastAsia" w:ascii="宋体" w:hAnsi="宋体" w:eastAsia="宋体" w:cs="宋体"/>
          <w:color w:val="auto"/>
          <w:sz w:val="36"/>
        </w:rPr>
      </w:pPr>
      <w:bookmarkStart w:id="0" w:name="_Toc7224"/>
      <w:r>
        <w:rPr>
          <w:rFonts w:hint="eastAsia" w:ascii="宋体" w:hAnsi="宋体" w:eastAsia="宋体" w:cs="宋体"/>
          <w:color w:val="auto"/>
          <w:sz w:val="36"/>
        </w:rPr>
        <w:t>采购内容及要求</w:t>
      </w:r>
      <w:bookmarkEnd w:id="0"/>
    </w:p>
    <w:p w14:paraId="705233F4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一、采购内容</w:t>
      </w:r>
    </w:p>
    <w:p w14:paraId="44B78A78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1、项目名称：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2026年大王街道职工餐厅运营</w:t>
      </w:r>
    </w:p>
    <w:p w14:paraId="3058B1B6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2、服务期限：自合同签订之日起一年</w:t>
      </w:r>
    </w:p>
    <w:p w14:paraId="7D19BF35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3、服务地点：采购人指定地点</w:t>
      </w:r>
    </w:p>
    <w:p w14:paraId="36AE6C6F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二、服务要求</w:t>
      </w:r>
    </w:p>
    <w:p w14:paraId="101B38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1、服从采购人管理，按采购人要求供餐，严格遵守各项管理制度，自觉履行职责义务。 </w:t>
      </w:r>
    </w:p>
    <w:p w14:paraId="787FE4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2、主厨负责制（主厨必须亲自掌厨）。 </w:t>
      </w:r>
    </w:p>
    <w:p w14:paraId="7E14FD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3、承担早、中、晚工作餐的制作和供应，每餐对所用餐具清洗、消毒，定期对场地进行消毒，注意防火、防盗、防食物中毒，做到用电用气安全。 </w:t>
      </w:r>
    </w:p>
    <w:p w14:paraId="37B71B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4、编制菜谱，制订合理的供餐计划，供应商须每周五下午15:00之前将下周食谱报送采购人审核确认、按照采购人审核确认后食谱进行执行。 </w:t>
      </w:r>
    </w:p>
    <w:p w14:paraId="182D5D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5、供应商采购餐厅低值易耗品，并对餐厅内设备进行维修及定期保养。</w:t>
      </w:r>
    </w:p>
    <w:p w14:paraId="580C09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6、供应商作为餐厅食品安全负责人，必须严格执行食品卫生安全管理有关规定，接受食品监督、消防、卫生等执法部门的检查监督，若不达标，应立即整改，并承担相应责任。 </w:t>
      </w:r>
    </w:p>
    <w:p w14:paraId="3457D6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7、厉行节约，不能出现严重滥用水电或其他严重浪费现象。 </w:t>
      </w:r>
    </w:p>
    <w:p w14:paraId="14845C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8、落实餐厅门面“三包”责任制：做到门前卫生清洁；门前秩序良好，无乱堆物品等现象；门内干净、整洁、卫生。 </w:t>
      </w:r>
    </w:p>
    <w:p w14:paraId="5BE3DB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9、加强管理，注意安全。在服务期间如发生安全事故、伤病、医药费、健康体检等费用由供应商承担，工资、福利、各类保险及劳务纠纷等由供应商负责，采购人不负任何责任。 </w:t>
      </w:r>
    </w:p>
    <w:p w14:paraId="242DE8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10、服务期间，餐厅的厨师、工作人员由供应商聘用，所聘用人员与采购人无任何劳务关系。</w:t>
      </w:r>
    </w:p>
    <w:p w14:paraId="1AE4E6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11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餐厅工作人员必须持健康证上岗，并按食品卫生管理规定着装整齐上班。 </w:t>
      </w:r>
    </w:p>
    <w:p w14:paraId="6D6607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12、如遇停水停电，供应商需停止供餐的，须经采购人同意。</w:t>
      </w:r>
    </w:p>
    <w:p w14:paraId="4B5B0A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Hans"/>
        </w:rPr>
        <w:t>、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服务要求</w:t>
      </w:r>
    </w:p>
    <w:p w14:paraId="695A7F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（一）用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Hans"/>
        </w:rPr>
        <w:t>餐标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准</w:t>
      </w:r>
    </w:p>
    <w:p w14:paraId="09ED9B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1140" w:leftChars="200" w:hanging="720" w:hangingChars="3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早餐：稀饭或汤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（八宝粥、小米粥、玉米粥、豆浆、胡辣汤）任意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一种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，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小</w:t>
      </w:r>
    </w:p>
    <w:p w14:paraId="004431A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菜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三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道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主食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（包子、油条、馒头、油饼、花卷）任意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一种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、蛋制品一种。</w:t>
      </w:r>
    </w:p>
    <w:p w14:paraId="1DE197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午餐：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每日供应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面食一种、汤一种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、水果一种、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米饭（荤菜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两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道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素菜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两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道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汤一道）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75BE59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1140" w:leftChars="200" w:hanging="720" w:hangingChars="3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晚餐：稀饭或汤一种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（八宝粥、小米粥、玉米粥）任意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一种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小菜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两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道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、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主</w:t>
      </w:r>
    </w:p>
    <w:p w14:paraId="11D9FF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食一种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260ABA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接待用餐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：如有需要，提供接待用餐。具体根据用餐单位要求制定菜单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，并根据采购人的订餐通知安排用餐服务，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所产生的费用由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采购人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与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供应商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Hans" w:bidi="ar-SA"/>
        </w:rPr>
        <w:t>自行结算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123B2ED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0" w:firstLineChars="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用餐人数</w:t>
      </w:r>
    </w:p>
    <w:p w14:paraId="5B87878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约150人，具体人数以实际就餐为准。</w:t>
      </w:r>
    </w:p>
    <w:p w14:paraId="13C2087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0" w:firstLineChars="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餐费标准：</w:t>
      </w:r>
    </w:p>
    <w:p w14:paraId="4A1A59F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（1）早餐：5元/人</w:t>
      </w:r>
    </w:p>
    <w:p w14:paraId="2221880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（2）午餐：12元/人</w:t>
      </w:r>
    </w:p>
    <w:p w14:paraId="6FCBF3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（3）晚餐：4元/人</w:t>
      </w:r>
    </w:p>
    <w:p w14:paraId="1642C61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用餐时段    </w:t>
      </w:r>
    </w:p>
    <w:p w14:paraId="073F633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（1）早餐：7:30-8:50</w:t>
      </w:r>
    </w:p>
    <w:p w14:paraId="47FB49D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（2）午餐：12:00-13:10</w:t>
      </w:r>
    </w:p>
    <w:p w14:paraId="15C4A39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（3）晚餐：18:10-19:10</w:t>
      </w:r>
    </w:p>
    <w:p w14:paraId="3988D8D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四、采购要求</w:t>
      </w:r>
    </w:p>
    <w:p w14:paraId="09B0EDBC">
      <w:pPr>
        <w:shd w:val="clear" w:color="auto" w:fill="auto"/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注： 如国家制定新的食品安全标准，即按新标准执行。</w:t>
      </w:r>
    </w:p>
    <w:tbl>
      <w:tblPr>
        <w:tblStyle w:val="8"/>
        <w:tblW w:w="851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4"/>
        <w:gridCol w:w="6513"/>
        <w:gridCol w:w="922"/>
      </w:tblGrid>
      <w:tr w14:paraId="3FC505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tblHeader/>
          <w:jc w:val="center"/>
        </w:trPr>
        <w:tc>
          <w:tcPr>
            <w:tcW w:w="1084" w:type="dxa"/>
            <w:noWrap w:val="0"/>
            <w:vAlign w:val="center"/>
          </w:tcPr>
          <w:p w14:paraId="2C8B6EC3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项目</w:t>
            </w:r>
          </w:p>
        </w:tc>
        <w:tc>
          <w:tcPr>
            <w:tcW w:w="6513" w:type="dxa"/>
            <w:noWrap w:val="0"/>
            <w:vAlign w:val="center"/>
          </w:tcPr>
          <w:p w14:paraId="3EC637B0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技术、规格、质量要求及包装标准</w:t>
            </w:r>
          </w:p>
        </w:tc>
        <w:tc>
          <w:tcPr>
            <w:tcW w:w="922" w:type="dxa"/>
            <w:noWrap w:val="0"/>
            <w:vAlign w:val="center"/>
          </w:tcPr>
          <w:p w14:paraId="31757DF7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438FD3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084" w:type="dxa"/>
            <w:noWrap w:val="0"/>
            <w:vAlign w:val="center"/>
          </w:tcPr>
          <w:p w14:paraId="297722C7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肉禽类</w:t>
            </w:r>
          </w:p>
        </w:tc>
        <w:tc>
          <w:tcPr>
            <w:tcW w:w="6513" w:type="dxa"/>
            <w:noWrap w:val="0"/>
            <w:vAlign w:val="center"/>
          </w:tcPr>
          <w:p w14:paraId="39489C3D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肉身必须盖有卫生检疫章，须出具加盖国家或地方政府监督所检疫章的动物检疫证明。</w:t>
            </w:r>
          </w:p>
        </w:tc>
        <w:tc>
          <w:tcPr>
            <w:tcW w:w="922" w:type="dxa"/>
            <w:vMerge w:val="restart"/>
            <w:noWrap w:val="0"/>
            <w:vAlign w:val="center"/>
          </w:tcPr>
          <w:p w14:paraId="6A801359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所有商品必须满足国家和地方相关规定</w:t>
            </w:r>
          </w:p>
        </w:tc>
      </w:tr>
      <w:tr w14:paraId="2E3669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  <w:jc w:val="center"/>
        </w:trPr>
        <w:tc>
          <w:tcPr>
            <w:tcW w:w="1084" w:type="dxa"/>
            <w:noWrap w:val="0"/>
            <w:vAlign w:val="center"/>
          </w:tcPr>
          <w:p w14:paraId="4BD5C0DC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蔬菜类</w:t>
            </w:r>
          </w:p>
        </w:tc>
        <w:tc>
          <w:tcPr>
            <w:tcW w:w="6513" w:type="dxa"/>
            <w:noWrap w:val="0"/>
            <w:vAlign w:val="center"/>
          </w:tcPr>
          <w:p w14:paraId="06B6E946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蔬菜类必须保证无黄叶、枯死叶、无虫、无杂质，须48小时内采摘供应，原菜须保证菜面干净、无明显泥土、码放整齐、无破损、大小基本统一、不得过熟或欠熟；净菜须保证菜面完全干净、无泥土、按统一标准加工、码放整齐、无须二次处理可以直接进行熟加工</w:t>
            </w:r>
          </w:p>
        </w:tc>
        <w:tc>
          <w:tcPr>
            <w:tcW w:w="922" w:type="dxa"/>
            <w:vMerge w:val="continue"/>
            <w:noWrap w:val="0"/>
            <w:vAlign w:val="center"/>
          </w:tcPr>
          <w:p w14:paraId="0A3C2120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225C17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084" w:type="dxa"/>
            <w:noWrap w:val="0"/>
            <w:vAlign w:val="center"/>
          </w:tcPr>
          <w:p w14:paraId="78E92418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蛋类</w:t>
            </w:r>
          </w:p>
        </w:tc>
        <w:tc>
          <w:tcPr>
            <w:tcW w:w="6513" w:type="dxa"/>
            <w:noWrap w:val="0"/>
            <w:vAlign w:val="center"/>
          </w:tcPr>
          <w:p w14:paraId="07C7C3DF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新鲜、无破损、色泽光滑，须出具加盖地方政府监督所检疫章的动物检疫证明</w:t>
            </w:r>
          </w:p>
        </w:tc>
        <w:tc>
          <w:tcPr>
            <w:tcW w:w="922" w:type="dxa"/>
            <w:vMerge w:val="continue"/>
            <w:noWrap w:val="0"/>
            <w:vAlign w:val="center"/>
          </w:tcPr>
          <w:p w14:paraId="7F29F56B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A4EC5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084" w:type="dxa"/>
            <w:noWrap w:val="0"/>
            <w:vAlign w:val="center"/>
          </w:tcPr>
          <w:p w14:paraId="128A1E6F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豆制品</w:t>
            </w:r>
          </w:p>
        </w:tc>
        <w:tc>
          <w:tcPr>
            <w:tcW w:w="6513" w:type="dxa"/>
            <w:noWrap w:val="0"/>
            <w:vAlign w:val="center"/>
          </w:tcPr>
          <w:p w14:paraId="78FCA678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豆腐、豆腐干、绿豆芽、黄豆芽、红豆等；须保证食材干净、不含非食品用化学物质、按统一标准加工、码放整齐、无须二次处理可以直接进行熟加工</w:t>
            </w:r>
          </w:p>
        </w:tc>
        <w:tc>
          <w:tcPr>
            <w:tcW w:w="922" w:type="dxa"/>
            <w:vMerge w:val="continue"/>
            <w:noWrap w:val="0"/>
            <w:vAlign w:val="center"/>
          </w:tcPr>
          <w:p w14:paraId="0ACB1D60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D9539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084" w:type="dxa"/>
            <w:noWrap w:val="0"/>
            <w:vAlign w:val="center"/>
          </w:tcPr>
          <w:p w14:paraId="26446D24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米线面条</w:t>
            </w:r>
          </w:p>
        </w:tc>
        <w:tc>
          <w:tcPr>
            <w:tcW w:w="6513" w:type="dxa"/>
            <w:noWrap w:val="0"/>
            <w:vAlign w:val="center"/>
          </w:tcPr>
          <w:p w14:paraId="5748D07D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米线、鲜面条、干面条、饵丝；要求原材料不含非食品用化学物质、不掺假、不过期、不变质、不变味、无杂质、无毒害，符合国家食品行业的标准</w:t>
            </w:r>
          </w:p>
        </w:tc>
        <w:tc>
          <w:tcPr>
            <w:tcW w:w="922" w:type="dxa"/>
            <w:vMerge w:val="continue"/>
            <w:noWrap w:val="0"/>
            <w:vAlign w:val="center"/>
          </w:tcPr>
          <w:p w14:paraId="1AE02B94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44EC4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1084" w:type="dxa"/>
            <w:noWrap w:val="0"/>
            <w:vAlign w:val="center"/>
          </w:tcPr>
          <w:p w14:paraId="59ECF9EF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大米</w:t>
            </w:r>
          </w:p>
        </w:tc>
        <w:tc>
          <w:tcPr>
            <w:tcW w:w="6513" w:type="dxa"/>
            <w:noWrap w:val="0"/>
            <w:vAlign w:val="center"/>
          </w:tcPr>
          <w:p w14:paraId="3B78A03E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大米须达GB/T1354-2018国家质量标准，水分含量在12°以下，无掺杂、无沙石，碎米少，无黄粒米；</w:t>
            </w:r>
          </w:p>
          <w:p w14:paraId="0BD2DDB2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大米包装袋上印有大米品名、等级、数量、出厂名、厂家地址及其电话。</w:t>
            </w:r>
          </w:p>
        </w:tc>
        <w:tc>
          <w:tcPr>
            <w:tcW w:w="922" w:type="dxa"/>
            <w:vMerge w:val="continue"/>
            <w:noWrap w:val="0"/>
            <w:vAlign w:val="center"/>
          </w:tcPr>
          <w:p w14:paraId="4DAB8248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96974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084" w:type="dxa"/>
            <w:noWrap w:val="0"/>
            <w:vAlign w:val="center"/>
          </w:tcPr>
          <w:p w14:paraId="0E6BDE5A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面粉</w:t>
            </w:r>
          </w:p>
          <w:p w14:paraId="7C401B69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（含面粉配料）</w:t>
            </w:r>
          </w:p>
        </w:tc>
        <w:tc>
          <w:tcPr>
            <w:tcW w:w="6513" w:type="dxa"/>
            <w:noWrap w:val="0"/>
            <w:vAlign w:val="center"/>
          </w:tcPr>
          <w:p w14:paraId="0526600F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色泽正常，干爽无异味；</w:t>
            </w:r>
          </w:p>
          <w:p w14:paraId="624C392D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按进货量抽查20％，数量按抽查验收实数为准；</w:t>
            </w:r>
          </w:p>
          <w:p w14:paraId="06994961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包装袋上有注册商标及SC标注，有检验合格证、生产日期和保质期。</w:t>
            </w:r>
          </w:p>
        </w:tc>
        <w:tc>
          <w:tcPr>
            <w:tcW w:w="922" w:type="dxa"/>
            <w:vMerge w:val="continue"/>
            <w:noWrap w:val="0"/>
            <w:vAlign w:val="center"/>
          </w:tcPr>
          <w:p w14:paraId="0906CC63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0BBA6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084" w:type="dxa"/>
            <w:noWrap w:val="0"/>
            <w:vAlign w:val="center"/>
          </w:tcPr>
          <w:p w14:paraId="4CCF707B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食用油</w:t>
            </w:r>
          </w:p>
        </w:tc>
        <w:tc>
          <w:tcPr>
            <w:tcW w:w="6513" w:type="dxa"/>
            <w:noWrap w:val="0"/>
            <w:vAlign w:val="center"/>
          </w:tcPr>
          <w:p w14:paraId="5004DCBC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按国家食用调和油质量标准GB/T 1535-2017，质量等级一级；</w:t>
            </w:r>
          </w:p>
          <w:p w14:paraId="39FFA3CE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有合格检验报告，外观的色泽、透明度、气味滋味等无异常；定型包装。</w:t>
            </w:r>
          </w:p>
        </w:tc>
        <w:tc>
          <w:tcPr>
            <w:tcW w:w="922" w:type="dxa"/>
            <w:vMerge w:val="continue"/>
            <w:noWrap w:val="0"/>
            <w:vAlign w:val="center"/>
          </w:tcPr>
          <w:p w14:paraId="6BFD2AD2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04D99E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084" w:type="dxa"/>
            <w:noWrap w:val="0"/>
            <w:vAlign w:val="center"/>
          </w:tcPr>
          <w:p w14:paraId="2747877F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冻品</w:t>
            </w:r>
          </w:p>
        </w:tc>
        <w:tc>
          <w:tcPr>
            <w:tcW w:w="6513" w:type="dxa"/>
            <w:noWrap w:val="0"/>
            <w:vAlign w:val="center"/>
          </w:tcPr>
          <w:p w14:paraId="7752F293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冻品外包装需完整，无破损，无不封口现象，有生产日期。冻品在解冻后，发现质量问题需退货。符合国家绿色批发市场标准，应具备满足交易需要的冷冻贮藏设施。</w:t>
            </w:r>
          </w:p>
        </w:tc>
        <w:tc>
          <w:tcPr>
            <w:tcW w:w="922" w:type="dxa"/>
            <w:vMerge w:val="continue"/>
            <w:noWrap w:val="0"/>
            <w:vAlign w:val="center"/>
          </w:tcPr>
          <w:p w14:paraId="1CE184B1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31939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084" w:type="dxa"/>
            <w:noWrap w:val="0"/>
            <w:vAlign w:val="center"/>
          </w:tcPr>
          <w:p w14:paraId="437426C5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调料</w:t>
            </w:r>
          </w:p>
        </w:tc>
        <w:tc>
          <w:tcPr>
            <w:tcW w:w="6513" w:type="dxa"/>
            <w:noWrap w:val="0"/>
            <w:vAlign w:val="center"/>
          </w:tcPr>
          <w:p w14:paraId="1E78293B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外包装无污物、无泄漏，无胀袋或胖听或鼓盖现象，无变质发霉现象。</w:t>
            </w:r>
          </w:p>
          <w:p w14:paraId="61192D13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色泽正常，具有该品种固有的香味，滋味无异味，油酱均匀的酱体或无结块的粉状固体，封口平整，无破包，夹包，漏包，无污染</w:t>
            </w:r>
          </w:p>
        </w:tc>
        <w:tc>
          <w:tcPr>
            <w:tcW w:w="922" w:type="dxa"/>
            <w:vMerge w:val="continue"/>
            <w:noWrap w:val="0"/>
            <w:vAlign w:val="center"/>
          </w:tcPr>
          <w:p w14:paraId="1B1FF06A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44CFED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084" w:type="dxa"/>
            <w:noWrap w:val="0"/>
            <w:vAlign w:val="center"/>
          </w:tcPr>
          <w:p w14:paraId="71F790F2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副食及</w:t>
            </w:r>
          </w:p>
          <w:p w14:paraId="4FB77A5A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其他</w:t>
            </w:r>
          </w:p>
        </w:tc>
        <w:tc>
          <w:tcPr>
            <w:tcW w:w="6513" w:type="dxa"/>
            <w:noWrap w:val="0"/>
            <w:vAlign w:val="center"/>
          </w:tcPr>
          <w:p w14:paraId="7E645E97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须保证食材干净、不含非食品用化学物质、按统一标准加工、码放整齐、无须二次处理可以直接进行熟加工。</w:t>
            </w:r>
          </w:p>
        </w:tc>
        <w:tc>
          <w:tcPr>
            <w:tcW w:w="922" w:type="dxa"/>
            <w:vMerge w:val="continue"/>
            <w:noWrap w:val="0"/>
            <w:vAlign w:val="center"/>
          </w:tcPr>
          <w:p w14:paraId="4A77D010">
            <w:pPr>
              <w:pStyle w:val="7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 w14:paraId="64FFAF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五、人员配置</w:t>
      </w:r>
    </w:p>
    <w:tbl>
      <w:tblPr>
        <w:tblStyle w:val="9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7"/>
        <w:gridCol w:w="3524"/>
        <w:gridCol w:w="3561"/>
      </w:tblGrid>
      <w:tr w14:paraId="6D1FC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7" w:type="dxa"/>
            <w:noWrap w:val="0"/>
            <w:vAlign w:val="top"/>
          </w:tcPr>
          <w:p w14:paraId="1E1E39C1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524" w:type="dxa"/>
            <w:noWrap w:val="0"/>
            <w:vAlign w:val="top"/>
          </w:tcPr>
          <w:p w14:paraId="684D85E5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3561" w:type="dxa"/>
            <w:noWrap w:val="0"/>
            <w:vAlign w:val="top"/>
          </w:tcPr>
          <w:p w14:paraId="16B3143B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</w:tr>
      <w:tr w14:paraId="79615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7" w:type="dxa"/>
            <w:noWrap w:val="0"/>
            <w:vAlign w:val="top"/>
          </w:tcPr>
          <w:p w14:paraId="5B4EE4BA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524" w:type="dxa"/>
            <w:noWrap w:val="0"/>
            <w:vAlign w:val="top"/>
          </w:tcPr>
          <w:p w14:paraId="5AFD9948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厨师</w:t>
            </w:r>
          </w:p>
        </w:tc>
        <w:tc>
          <w:tcPr>
            <w:tcW w:w="3561" w:type="dxa"/>
            <w:noWrap w:val="0"/>
            <w:vAlign w:val="top"/>
          </w:tcPr>
          <w:p w14:paraId="2951EAFA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</w:t>
            </w:r>
          </w:p>
        </w:tc>
      </w:tr>
      <w:tr w14:paraId="4DB63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7" w:type="dxa"/>
            <w:noWrap w:val="0"/>
            <w:vAlign w:val="top"/>
          </w:tcPr>
          <w:p w14:paraId="715E3D06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3524" w:type="dxa"/>
            <w:noWrap w:val="0"/>
            <w:vAlign w:val="top"/>
          </w:tcPr>
          <w:p w14:paraId="025306B5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面点师</w:t>
            </w:r>
          </w:p>
        </w:tc>
        <w:tc>
          <w:tcPr>
            <w:tcW w:w="3561" w:type="dxa"/>
            <w:noWrap w:val="0"/>
            <w:vAlign w:val="top"/>
          </w:tcPr>
          <w:p w14:paraId="324C9381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</w:t>
            </w:r>
          </w:p>
        </w:tc>
      </w:tr>
      <w:tr w14:paraId="14208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7" w:type="dxa"/>
            <w:noWrap w:val="0"/>
            <w:vAlign w:val="top"/>
          </w:tcPr>
          <w:p w14:paraId="752FA680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3524" w:type="dxa"/>
            <w:noWrap w:val="0"/>
            <w:vAlign w:val="top"/>
          </w:tcPr>
          <w:p w14:paraId="7F706995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  <w:t>洗消员</w:t>
            </w:r>
          </w:p>
        </w:tc>
        <w:tc>
          <w:tcPr>
            <w:tcW w:w="3561" w:type="dxa"/>
            <w:noWrap w:val="0"/>
            <w:vAlign w:val="top"/>
          </w:tcPr>
          <w:p w14:paraId="08063E2C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</w:t>
            </w:r>
          </w:p>
        </w:tc>
      </w:tr>
      <w:tr w14:paraId="4427D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7" w:type="dxa"/>
            <w:noWrap w:val="0"/>
            <w:vAlign w:val="top"/>
          </w:tcPr>
          <w:p w14:paraId="5F18387D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3524" w:type="dxa"/>
            <w:noWrap w:val="0"/>
            <w:vAlign w:val="top"/>
          </w:tcPr>
          <w:p w14:paraId="0C59E372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管理人员</w:t>
            </w:r>
          </w:p>
        </w:tc>
        <w:tc>
          <w:tcPr>
            <w:tcW w:w="3561" w:type="dxa"/>
            <w:noWrap w:val="0"/>
            <w:vAlign w:val="top"/>
          </w:tcPr>
          <w:p w14:paraId="564216E0">
            <w:pPr>
              <w:pStyle w:val="12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1人</w:t>
            </w:r>
          </w:p>
        </w:tc>
      </w:tr>
    </w:tbl>
    <w:p w14:paraId="2F20BD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六、结算周期</w:t>
      </w:r>
    </w:p>
    <w:p w14:paraId="67C909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按月结算，依据实际就餐人员对应的刷卡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次数及当月绩效考核情况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进行据实结算。</w:t>
      </w:r>
    </w:p>
    <w:p w14:paraId="66DB60F6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其他要求</w:t>
      </w:r>
    </w:p>
    <w:p w14:paraId="6E1F36D0">
      <w:pPr>
        <w:pStyle w:val="3"/>
        <w:numPr>
          <w:ilvl w:val="0"/>
          <w:numId w:val="0"/>
        </w:numPr>
        <w:spacing w:line="360" w:lineRule="auto"/>
        <w:ind w:firstLine="482" w:firstLineChars="200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★成交供应商本年度须在扶贫832网站采购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针对本项目的采购食材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≥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37500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元贫困地区的农副产品，针对此要求提供相关承诺。</w:t>
      </w:r>
    </w:p>
    <w:p w14:paraId="530703A0">
      <w:pP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</w:p>
    <w:p w14:paraId="42D54AC1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7624E7"/>
    <w:multiLevelType w:val="singleLevel"/>
    <w:tmpl w:val="8E7624E7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95AD852"/>
    <w:multiLevelType w:val="singleLevel"/>
    <w:tmpl w:val="F95AD852"/>
    <w:lvl w:ilvl="0" w:tentative="0">
      <w:start w:val="2"/>
      <w:numFmt w:val="chineseCounting"/>
      <w:suff w:val="nothing"/>
      <w:lvlText w:val="（%1）"/>
      <w:lvlJc w:val="left"/>
      <w:pPr>
        <w:ind w:left="480"/>
      </w:pPr>
      <w:rPr>
        <w:rFonts w:hint="eastAsia"/>
        <w:b/>
        <w:bCs/>
      </w:rPr>
    </w:lvl>
  </w:abstractNum>
  <w:abstractNum w:abstractNumId="2">
    <w:nsid w:val="035AE593"/>
    <w:multiLevelType w:val="singleLevel"/>
    <w:tmpl w:val="035AE593"/>
    <w:lvl w:ilvl="0" w:tentative="0">
      <w:start w:val="6"/>
      <w:numFmt w:val="chineseCounting"/>
      <w:suff w:val="space"/>
      <w:lvlText w:val="第%1部分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503228"/>
    <w:rsid w:val="7834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6">
    <w:name w:val="heading 1"/>
    <w:basedOn w:val="1"/>
    <w:next w:val="1"/>
    <w:qFormat/>
    <w:uiPriority w:val="0"/>
    <w:pPr>
      <w:keepNext/>
      <w:keepLines/>
      <w:spacing w:line="576" w:lineRule="auto"/>
      <w:outlineLvl w:val="0"/>
    </w:pPr>
    <w:rPr>
      <w:b/>
      <w:kern w:val="44"/>
      <w:sz w:val="44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4"/>
    <w:qFormat/>
    <w:uiPriority w:val="0"/>
    <w:pPr>
      <w:adjustRightInd w:val="0"/>
      <w:ind w:firstLine="420"/>
      <w:jc w:val="left"/>
      <w:textAlignment w:val="baseline"/>
    </w:pPr>
    <w:rPr>
      <w:b w:val="0"/>
      <w:kern w:val="0"/>
      <w:sz w:val="21"/>
    </w:rPr>
  </w:style>
  <w:style w:type="paragraph" w:styleId="3">
    <w:name w:val="Body Text"/>
    <w:basedOn w:val="1"/>
    <w:next w:val="1"/>
    <w:qFormat/>
    <w:uiPriority w:val="0"/>
    <w:rPr>
      <w:b/>
      <w:sz w:val="28"/>
    </w:rPr>
  </w:style>
  <w:style w:type="paragraph" w:styleId="4">
    <w:name w:val="Body Text First Indent 2"/>
    <w:basedOn w:val="5"/>
    <w:next w:val="1"/>
    <w:qFormat/>
    <w:uiPriority w:val="99"/>
  </w:style>
  <w:style w:type="paragraph" w:styleId="5">
    <w:name w:val="Body Text Indent"/>
    <w:basedOn w:val="1"/>
    <w:next w:val="1"/>
    <w:qFormat/>
    <w:uiPriority w:val="0"/>
    <w:pPr>
      <w:ind w:left="1083" w:leftChars="30" w:hanging="1020" w:hangingChars="425"/>
    </w:pPr>
    <w:rPr>
      <w:rFonts w:ascii="宋体" w:hAnsi="宋体"/>
      <w:sz w:val="24"/>
    </w:rPr>
  </w:style>
  <w:style w:type="paragraph" w:styleId="7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_Style 3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2"/>
    </w:rPr>
  </w:style>
  <w:style w:type="paragraph" w:customStyle="1" w:styleId="12">
    <w:name w:val="列出段落1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1880</Words>
  <Characters>1954</Characters>
  <Lines>0</Lines>
  <Paragraphs>0</Paragraphs>
  <TotalTime>0</TotalTime>
  <ScaleCrop>false</ScaleCrop>
  <LinksUpToDate>false</LinksUpToDate>
  <CharactersWithSpaces>1969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2026-06-11T01:58:00Z</dcterms:created>
  <dc:creator>Administrator</dc:creator>
  <cp:lastModifiedBy>R·</cp:lastModifiedBy>
  <dcterms:modified xsi:type="dcterms:W3CDTF">2026-06-11T08:33:35Z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eyJoZGlkIjoiY2U2MGYyZWMzYTEzNTg2MTQ1OGQ1NzQ1ZDhkMGM0Y2QiLCJ1c2VySWQiOiI0ODk2NzQ5NDEifQ==</vt:lpwstr>
  </property>
  <property fmtid="{D5CDD505-2E9C-101B-9397-08002B2CF9AE}" pid="4" name="ICV">
    <vt:lpwstr>267ADEB65C1B4368BD44EA02F0A79786_12</vt:lpwstr>
  </property>
</Properties>
</file>