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版本号：YWGL-ZC-2026-001220260610002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陕西省2026职业技能大赛项目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YWGL-ZC-2026-0012</w:t>
      </w:r>
      <w:r>
        <w:br/>
      </w:r>
      <w:r>
        <w:br/>
      </w:r>
      <w:r>
        <w:br/>
      </w:r>
    </w:p>
    <w:p>
      <w:pPr>
        <w:pStyle w:val="null3"/>
        <w:jc w:val="center"/>
        <w:outlineLvl w:val="2"/>
      </w:pPr>
      <w:r>
        <w:rPr>
          <w:rFonts w:ascii="仿宋_GB2312" w:hAnsi="仿宋_GB2312" w:cs="仿宋_GB2312" w:eastAsia="仿宋_GB2312"/>
          <w:sz w:val="28"/>
          <w:b/>
        </w:rPr>
        <w:t>陕西省人力资源和社会保障厅机关</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陕西省人力资源和社会保障厅机关</w:t>
      </w:r>
      <w:r>
        <w:rPr>
          <w:rFonts w:ascii="仿宋_GB2312" w:hAnsi="仿宋_GB2312" w:cs="仿宋_GB2312" w:eastAsia="仿宋_GB2312"/>
        </w:rPr>
        <w:t>委托，拟对</w:t>
      </w:r>
      <w:r>
        <w:rPr>
          <w:rFonts w:ascii="仿宋_GB2312" w:hAnsi="仿宋_GB2312" w:cs="仿宋_GB2312" w:eastAsia="仿宋_GB2312"/>
        </w:rPr>
        <w:t>陕西省2026职业技能大赛项目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陕西省2026职业技能大赛项目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陕西省2026职业技能⼤赛项目，主要⼯作内容包括赛项保障及宣传等服务。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采购包1（陕西省2026职业技能大赛项目）：属于专门面向中小企业采购。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不得为“信用中国”网站(https://www.creditchina.gov.cn)中列入失信被执行人和重大税收违法失信主体，不得为中国政府采购网(https://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陕西省人力资源和社会保障厅机关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陕西省西安市新城广场省政府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029-63915218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邢郁苗、薛淼鑫、田许双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代理服务费收费标准：参照国家计委2002年颁发的《招标代理服务收费管理暂⾏办法》(计价格〔2002〕1980号)的标准收取。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陕西省人力资源和社会保障厅机关</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陕西省人力资源和社会保障厅机关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陕西省人力资源和社会保障厅机关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陕西省2026职业技能大赛，主要工作内容包括赛项保障及宣传等服务。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陕西省2026职业技能大赛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标的名称：陕西省2026职业技能大赛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一、服务范围及要求</w:t>
            </w:r>
          </w:p>
          <w:p>
            <w:pPr>
              <w:pStyle w:val="null3"/>
            </w:pPr>
            <w:r>
              <w:rPr>
                <w:rFonts w:ascii="仿宋_GB2312" w:hAnsi="仿宋_GB2312" w:cs="仿宋_GB2312" w:eastAsia="仿宋_GB2312"/>
              </w:rPr>
              <w:t>（一）赛项保障服务要求</w:t>
            </w:r>
          </w:p>
          <w:p>
            <w:pPr>
              <w:pStyle w:val="null3"/>
            </w:pPr>
            <w:r>
              <w:rPr>
                <w:rFonts w:ascii="仿宋_GB2312" w:hAnsi="仿宋_GB2312" w:cs="仿宋_GB2312" w:eastAsia="仿宋_GB2312"/>
              </w:rPr>
              <w:t>1.主赛场规划设计搭建负责大赛集中赛项的赛区平面布局规划、赛区观摩动线、赛项布局规划、赛项3D效果图、赛项水电网路布局图和监控点位图的设计规划，并根据设计图负责实施布置搭建及公共休息区就餐区、志愿者之家的布置。</w:t>
            </w:r>
          </w:p>
          <w:p>
            <w:pPr>
              <w:pStyle w:val="null3"/>
            </w:pPr>
            <w:r>
              <w:rPr>
                <w:rFonts w:ascii="仿宋_GB2312" w:hAnsi="仿宋_GB2312" w:cs="仿宋_GB2312" w:eastAsia="仿宋_GB2312"/>
              </w:rPr>
              <w:t>1.1赛场公共物料根据执委会公布的技术文件满足配置。</w:t>
            </w:r>
          </w:p>
          <w:p>
            <w:pPr>
              <w:pStyle w:val="null3"/>
            </w:pPr>
            <w:r>
              <w:rPr>
                <w:rFonts w:ascii="仿宋_GB2312" w:hAnsi="仿宋_GB2312" w:cs="仿宋_GB2312" w:eastAsia="仿宋_GB2312"/>
              </w:rPr>
              <w:t>1.2竞赛场馆活动区布置等要求（设计方案经采购人同意后实施）：</w:t>
            </w:r>
          </w:p>
          <w:p>
            <w:pPr>
              <w:pStyle w:val="null3"/>
            </w:pPr>
            <w:r>
              <w:rPr>
                <w:rFonts w:ascii="仿宋_GB2312" w:hAnsi="仿宋_GB2312" w:cs="仿宋_GB2312" w:eastAsia="仿宋_GB2312"/>
              </w:rPr>
              <w:t>（1）集中竞赛区域设22个竞赛项目，按各赛项按要求施工接入水电网气，满足供水、供电、供气、供网的需求，并满足竞赛区域和公共区域的搭建及铺设。</w:t>
            </w:r>
          </w:p>
          <w:p>
            <w:pPr>
              <w:pStyle w:val="null3"/>
            </w:pPr>
            <w:r>
              <w:rPr>
                <w:rFonts w:ascii="仿宋_GB2312" w:hAnsi="仿宋_GB2312" w:cs="仿宋_GB2312" w:eastAsia="仿宋_GB2312"/>
              </w:rPr>
              <w:t>（2）每个竞赛项目原则上统一分为竞赛区、裁判室、选手休息区、材料室、存储区、作品展示区、评录分室、仓储室等部分，根据各赛项要求做具体调整。每个竞赛项目有明显的项目标识，项目围挡或边角位有项目、参赛选手的基本介绍。每个项目按要求配备液晶显示屏，每个竞赛区配独立三级电控箱配套设施，接入不低于100M带宽的稳定网络，根据实际情况配置。每个竞赛项目之间需要有效隔离，并与观众区有效隔离（≥0.5m）。通用隔离要求符合整体布展效果：各区为不低于1米稳固安全结构围栏，工位板材根据赛项要求需采用铝料金属结构间隔，四个角采用稳固安全结构造型，规格不低于2米高*1米宽，信息柱结合电脑喷绘。并且需要搭建信息牌造型结构，结合电脑喷绘，展示赛项相关信息。各功能室隔离板的高度约为2米，并安装门锁，所有更衣室需封顶。根据场地实际情况调整。</w:t>
            </w:r>
          </w:p>
          <w:p>
            <w:pPr>
              <w:pStyle w:val="null3"/>
            </w:pPr>
            <w:r>
              <w:rPr>
                <w:rFonts w:ascii="仿宋_GB2312" w:hAnsi="仿宋_GB2312" w:cs="仿宋_GB2312" w:eastAsia="仿宋_GB2312"/>
              </w:rPr>
              <w:t>（3）每个赛项配备独立电源及漏电保护开关，电源接口按要求设置在每个工位；每个赛项功能区按要求设置电源接口。</w:t>
            </w:r>
          </w:p>
          <w:p>
            <w:pPr>
              <w:pStyle w:val="null3"/>
            </w:pPr>
            <w:r>
              <w:rPr>
                <w:rFonts w:ascii="仿宋_GB2312" w:hAnsi="仿宋_GB2312" w:cs="仿宋_GB2312" w:eastAsia="仿宋_GB2312"/>
              </w:rPr>
              <w:t>（4）监控要求：原则上竞赛区各工位配置高清固定摄像头（分辨率不少于1080P），工位实现一对一摄像头监控；录分室、裁判区（评分区）等功能区按要求配置高清固定摄像头（分辨率不少于1080P）。保证全方位、无盲角，24 小时实时监控，从竞赛开始至结束期间录像保存全部竞赛过程，录像保存期至少一年。</w:t>
            </w:r>
          </w:p>
          <w:p>
            <w:pPr>
              <w:pStyle w:val="null3"/>
            </w:pPr>
            <w:r>
              <w:rPr>
                <w:rFonts w:ascii="仿宋_GB2312" w:hAnsi="仿宋_GB2312" w:cs="仿宋_GB2312" w:eastAsia="仿宋_GB2312"/>
              </w:rPr>
              <w:t>（5）监控总控台置在仲裁室，覆盖22个赛项竞赛场地，配备LED显示屏，显示屏尺寸根据场地实际情况调整。</w:t>
            </w:r>
          </w:p>
          <w:p>
            <w:pPr>
              <w:pStyle w:val="null3"/>
            </w:pPr>
            <w:r>
              <w:rPr>
                <w:rFonts w:ascii="仿宋_GB2312" w:hAnsi="仿宋_GB2312" w:cs="仿宋_GB2312" w:eastAsia="仿宋_GB2312"/>
              </w:rPr>
              <w:t>（6）根据各赛项具体要求配备照明系统，满足竞赛照明需求。</w:t>
            </w:r>
          </w:p>
          <w:p>
            <w:pPr>
              <w:pStyle w:val="null3"/>
            </w:pPr>
            <w:r>
              <w:rPr>
                <w:rFonts w:ascii="仿宋_GB2312" w:hAnsi="仿宋_GB2312" w:cs="仿宋_GB2312" w:eastAsia="仿宋_GB2312"/>
              </w:rPr>
              <w:t>（7）根据赛项情况，有需求的赛项场地布置需具备排污（排水、排气）处理。</w:t>
            </w:r>
          </w:p>
          <w:p>
            <w:pPr>
              <w:pStyle w:val="null3"/>
            </w:pPr>
            <w:r>
              <w:rPr>
                <w:rFonts w:ascii="仿宋_GB2312" w:hAnsi="仿宋_GB2312" w:cs="仿宋_GB2312" w:eastAsia="仿宋_GB2312"/>
              </w:rPr>
              <w:t>（8）赛区的布置要充分考虑到比赛的适用性，在不干扰选手比赛的情况下，方便裁判的评判及满足观众对比赛的观赏性。</w:t>
            </w:r>
          </w:p>
          <w:p>
            <w:pPr>
              <w:pStyle w:val="null3"/>
            </w:pPr>
            <w:r>
              <w:rPr>
                <w:rFonts w:ascii="仿宋_GB2312" w:hAnsi="仿宋_GB2312" w:cs="仿宋_GB2312" w:eastAsia="仿宋_GB2312"/>
              </w:rPr>
              <w:t>（9）各竞赛场地按竞赛项目特点进行布局规划和设计，各项目的背景图案、布展设计依照各项目的特点及技术文件标准规划实施。</w:t>
            </w:r>
          </w:p>
          <w:p>
            <w:pPr>
              <w:pStyle w:val="null3"/>
            </w:pPr>
            <w:r>
              <w:rPr>
                <w:rFonts w:ascii="仿宋_GB2312" w:hAnsi="仿宋_GB2312" w:cs="仿宋_GB2312" w:eastAsia="仿宋_GB2312"/>
              </w:rPr>
              <w:t>（10）赛场地和观摩通道用需进行有效分隔，隔板需设计竞赛相关信息，如选手介绍、赛项介绍等。</w:t>
            </w:r>
          </w:p>
          <w:p>
            <w:pPr>
              <w:pStyle w:val="null3"/>
            </w:pPr>
            <w:r>
              <w:rPr>
                <w:rFonts w:ascii="仿宋_GB2312" w:hAnsi="仿宋_GB2312" w:cs="仿宋_GB2312" w:eastAsia="仿宋_GB2312"/>
              </w:rPr>
              <w:t>（11）按照竞赛项目需求提供叉车、撤场装卸服务，入场和撤场场地搭建垃圾卫生清理，以及设施设备外包装存储等。 （12）各项目按相关要求设置一定的安全出口，用安全警戒带进行隔离警示。</w:t>
            </w:r>
          </w:p>
          <w:p>
            <w:pPr>
              <w:pStyle w:val="null3"/>
            </w:pPr>
            <w:r>
              <w:rPr>
                <w:rFonts w:ascii="仿宋_GB2312" w:hAnsi="仿宋_GB2312" w:cs="仿宋_GB2312" w:eastAsia="仿宋_GB2312"/>
              </w:rPr>
              <w:t>（13）须根据各赛项的技术要求，完成赛场内给排水系统的接驳与布置、电力系统的配置与线路敷设、特殊照明的安装与调试，并采取有效措施保证施工及使用期间的人员安全、设备安全和用电安全，确保所有设施满足竞赛设备运行及赛事保障需求。</w:t>
            </w:r>
          </w:p>
          <w:p>
            <w:pPr>
              <w:pStyle w:val="null3"/>
            </w:pPr>
            <w:r>
              <w:rPr>
                <w:rFonts w:ascii="仿宋_GB2312" w:hAnsi="仿宋_GB2312" w:cs="仿宋_GB2312" w:eastAsia="仿宋_GB2312"/>
              </w:rPr>
              <w:t>（14）为保证安全及美观，场地内所有线路应暗线布置，不得看见裸露线路。</w:t>
            </w:r>
          </w:p>
          <w:p>
            <w:pPr>
              <w:pStyle w:val="null3"/>
            </w:pPr>
            <w:r>
              <w:rPr>
                <w:rFonts w:ascii="仿宋_GB2312" w:hAnsi="仿宋_GB2312" w:cs="仿宋_GB2312" w:eastAsia="仿宋_GB2312"/>
              </w:rPr>
              <w:t>（15）集中赛项非竞赛专业设备的公共区域设施租赁和物料的设计制作，包括：计时器、打印机、显示器、工位牌、收纳箱、抽签箱、赛区配套物料等。</w:t>
            </w:r>
          </w:p>
          <w:p>
            <w:pPr>
              <w:pStyle w:val="null3"/>
            </w:pPr>
            <w:r>
              <w:rPr>
                <w:rFonts w:ascii="仿宋_GB2312" w:hAnsi="仿宋_GB2312" w:cs="仿宋_GB2312" w:eastAsia="仿宋_GB2312"/>
              </w:rPr>
              <w:t>（16）比赛过程产生的废水、废气、废渣处理。</w:t>
            </w:r>
          </w:p>
          <w:p>
            <w:pPr>
              <w:pStyle w:val="null3"/>
            </w:pPr>
            <w:r>
              <w:rPr>
                <w:rFonts w:ascii="仿宋_GB2312" w:hAnsi="仿宋_GB2312" w:cs="仿宋_GB2312" w:eastAsia="仿宋_GB2312"/>
              </w:rPr>
              <w:t>（17）根据场地情况赛场氛围营造的物料及布置。</w:t>
            </w:r>
          </w:p>
          <w:p>
            <w:pPr>
              <w:pStyle w:val="null3"/>
            </w:pPr>
            <w:r>
              <w:rPr>
                <w:rFonts w:ascii="仿宋_GB2312" w:hAnsi="仿宋_GB2312" w:cs="仿宋_GB2312" w:eastAsia="仿宋_GB2312"/>
              </w:rPr>
              <w:t>（18）以上工作由投标人配备相关专业人员进行实施及配合采购人的需要进行增补、调整。</w:t>
            </w:r>
          </w:p>
          <w:p>
            <w:pPr>
              <w:pStyle w:val="null3"/>
            </w:pPr>
            <w:r>
              <w:rPr>
                <w:rFonts w:ascii="仿宋_GB2312" w:hAnsi="仿宋_GB2312" w:cs="仿宋_GB2312" w:eastAsia="仿宋_GB2312"/>
              </w:rPr>
              <w:t>1.3制作及服务要求：</w:t>
            </w:r>
          </w:p>
          <w:p>
            <w:pPr>
              <w:pStyle w:val="null3"/>
            </w:pPr>
            <w:r>
              <w:rPr>
                <w:rFonts w:ascii="仿宋_GB2312" w:hAnsi="仿宋_GB2312" w:cs="仿宋_GB2312" w:eastAsia="仿宋_GB2312"/>
              </w:rPr>
              <w:t>（1）中标人应有相应经验的技术和管理人员团队。</w:t>
            </w:r>
          </w:p>
          <w:p>
            <w:pPr>
              <w:pStyle w:val="null3"/>
            </w:pPr>
            <w:r>
              <w:rPr>
                <w:rFonts w:ascii="仿宋_GB2312" w:hAnsi="仿宋_GB2312" w:cs="仿宋_GB2312" w:eastAsia="仿宋_GB2312"/>
              </w:rPr>
              <w:t>（2）中标人应有合理的项目推进工作进度安排方案。</w:t>
            </w:r>
          </w:p>
          <w:p>
            <w:pPr>
              <w:pStyle w:val="null3"/>
            </w:pPr>
            <w:r>
              <w:rPr>
                <w:rFonts w:ascii="仿宋_GB2312" w:hAnsi="仿宋_GB2312" w:cs="仿宋_GB2312" w:eastAsia="仿宋_GB2312"/>
              </w:rPr>
              <w:t>（3）本项目施工内容以经采购人确认的设计施工图为准。</w:t>
            </w:r>
          </w:p>
          <w:p>
            <w:pPr>
              <w:pStyle w:val="null3"/>
            </w:pPr>
            <w:r>
              <w:rPr>
                <w:rFonts w:ascii="仿宋_GB2312" w:hAnsi="仿宋_GB2312" w:cs="仿宋_GB2312" w:eastAsia="仿宋_GB2312"/>
              </w:rPr>
              <w:t>（4）所有制作件所选用材料须符合国家的消防安全要求的消防要求。</w:t>
            </w:r>
          </w:p>
          <w:p>
            <w:pPr>
              <w:pStyle w:val="null3"/>
            </w:pPr>
            <w:r>
              <w:rPr>
                <w:rFonts w:ascii="仿宋_GB2312" w:hAnsi="仿宋_GB2312" w:cs="仿宋_GB2312" w:eastAsia="仿宋_GB2312"/>
              </w:rPr>
              <w:t>（5）所有施工人员必须是专业施工人员，电工必须持证上岗，各特种工种施工人员必须持证操作，中标人负责所有施工人员安全责任。</w:t>
            </w:r>
          </w:p>
          <w:p>
            <w:pPr>
              <w:pStyle w:val="null3"/>
            </w:pPr>
            <w:r>
              <w:rPr>
                <w:rFonts w:ascii="仿宋_GB2312" w:hAnsi="仿宋_GB2312" w:cs="仿宋_GB2312" w:eastAsia="仿宋_GB2312"/>
              </w:rPr>
              <w:t>（6）活动期间现场须留有电工、杂工等值班人员。</w:t>
            </w:r>
          </w:p>
          <w:p>
            <w:pPr>
              <w:pStyle w:val="null3"/>
            </w:pPr>
            <w:r>
              <w:rPr>
                <w:rFonts w:ascii="仿宋_GB2312" w:hAnsi="仿宋_GB2312" w:cs="仿宋_GB2312" w:eastAsia="仿宋_GB2312"/>
              </w:rPr>
              <w:t>（7）中标人施工期间做好场地地面保护；撤展后做好垃圾清运工作，并恢复原场馆地面。</w:t>
            </w:r>
          </w:p>
          <w:p>
            <w:pPr>
              <w:pStyle w:val="null3"/>
            </w:pPr>
            <w:r>
              <w:rPr>
                <w:rFonts w:ascii="仿宋_GB2312" w:hAnsi="仿宋_GB2312" w:cs="仿宋_GB2312" w:eastAsia="仿宋_GB2312"/>
              </w:rPr>
              <w:t>2.裁判长及助理劳务费中标人需承担裁判长及助理劳务费、技术⽂件编撰劳务费、交通补贴，具体⼈数及天数以采购人审核确认后的台账为准。（1）劳务费标准：裁判长1500元/人/天（税前），裁判长助理1000元/人/天（税前）；（2）交通补贴：省外裁判长及助理往返交通实报实销（经济舱机票/高铁二等座），省内裁判交通补贴500元/人；（3）费用发放：裁判长及裁判长助理劳务费及交通费合计约70万元（即暂估价70万元），中标人须建立劳务费发放台账，经采购人审核确认后发放，并接受审计监督。</w:t>
            </w:r>
          </w:p>
          <w:p>
            <w:pPr>
              <w:pStyle w:val="null3"/>
            </w:pPr>
            <w:r>
              <w:rPr>
                <w:rFonts w:ascii="仿宋_GB2312" w:hAnsi="仿宋_GB2312" w:cs="仿宋_GB2312" w:eastAsia="仿宋_GB2312"/>
              </w:rPr>
              <w:t>3.报名、评分系统</w:t>
            </w:r>
          </w:p>
          <w:p>
            <w:pPr>
              <w:pStyle w:val="null3"/>
            </w:pPr>
            <w:r>
              <w:rPr>
                <w:rFonts w:ascii="仿宋_GB2312" w:hAnsi="仿宋_GB2312" w:cs="仿宋_GB2312" w:eastAsia="仿宋_GB2312"/>
              </w:rPr>
              <w:t>（1）报名系统功能：支持线上报名、资格审查、评分录入、成绩统计、排名生成、数据导出等全流程管理；线上报名管理：包含各类参赛及服务人员的报名信息采集、审核、汇总与资料管理。系统覆盖裁判长/裁判员、选手、领队、裁判/领队助理、场地经理/助理、联络员等不同角色的报名场景，可实现人员信息录入、批量导入、报名审核、照片管理、报名数据导出以及汇总表附件上传等操作。</w:t>
            </w:r>
          </w:p>
          <w:p>
            <w:pPr>
              <w:pStyle w:val="null3"/>
            </w:pPr>
            <w:r>
              <w:rPr>
                <w:rFonts w:ascii="仿宋_GB2312" w:hAnsi="仿宋_GB2312" w:cs="仿宋_GB2312" w:eastAsia="仿宋_GB2312"/>
              </w:rPr>
              <w:t>（2）评分系统功能：包含评分标准管理、人员分组、评分计划、评分表导出、分数录入、分数确认、成绩生成等板块。系统上传评分标准，人员分组按各市绑定、系统自动生成评分表。在系统进行录分，和判定参赛状态。系统根据分数自动排名。然后人工进行二次确认评分结果。 同时可以按各市进行团体的成绩排名和评分。</w:t>
            </w:r>
          </w:p>
          <w:p>
            <w:pPr>
              <w:pStyle w:val="null3"/>
            </w:pPr>
            <w:r>
              <w:rPr>
                <w:rFonts w:ascii="仿宋_GB2312" w:hAnsi="仿宋_GB2312" w:cs="仿宋_GB2312" w:eastAsia="仿宋_GB2312"/>
              </w:rPr>
              <w:t>（二）宣传报道服务</w:t>
            </w:r>
          </w:p>
          <w:p>
            <w:pPr>
              <w:pStyle w:val="null3"/>
            </w:pPr>
            <w:r>
              <w:rPr>
                <w:rFonts w:ascii="仿宋_GB2312" w:hAnsi="仿宋_GB2312" w:cs="仿宋_GB2312" w:eastAsia="仿宋_GB2312"/>
              </w:rPr>
              <w:t>1.媒体宣传服务</w:t>
            </w:r>
          </w:p>
          <w:p>
            <w:pPr>
              <w:pStyle w:val="null3"/>
            </w:pPr>
            <w:r>
              <w:rPr>
                <w:rFonts w:ascii="仿宋_GB2312" w:hAnsi="仿宋_GB2312" w:cs="仿宋_GB2312" w:eastAsia="仿宋_GB2312"/>
              </w:rPr>
              <w:t>（1）媒体对接：建立媒体对接机制，邀请中央级媒体、省级媒体现场报道，提供新闻通稿撰写服务。</w:t>
            </w:r>
          </w:p>
          <w:p>
            <w:pPr>
              <w:pStyle w:val="null3"/>
            </w:pPr>
            <w:r>
              <w:rPr>
                <w:rFonts w:ascii="仿宋_GB2312" w:hAnsi="仿宋_GB2312" w:cs="仿宋_GB2312" w:eastAsia="仿宋_GB2312"/>
              </w:rPr>
              <w:t>（2）新媒体：在抖音、快手、公众号等平台发布内容。</w:t>
            </w:r>
          </w:p>
          <w:p>
            <w:pPr>
              <w:pStyle w:val="null3"/>
            </w:pPr>
            <w:r>
              <w:rPr>
                <w:rFonts w:ascii="仿宋_GB2312" w:hAnsi="仿宋_GB2312" w:cs="仿宋_GB2312" w:eastAsia="仿宋_GB2312"/>
              </w:rPr>
              <w:t>（3）动态信息监测：赛事期间全程动态信息监测，每日提供监测报告，赛后提供总结报告。</w:t>
            </w:r>
          </w:p>
          <w:p>
            <w:pPr>
              <w:pStyle w:val="null3"/>
            </w:pPr>
            <w:r>
              <w:rPr>
                <w:rFonts w:ascii="仿宋_GB2312" w:hAnsi="仿宋_GB2312" w:cs="仿宋_GB2312" w:eastAsia="仿宋_GB2312"/>
              </w:rPr>
              <w:t>2.新闻发布会</w:t>
            </w:r>
          </w:p>
          <w:p>
            <w:pPr>
              <w:pStyle w:val="null3"/>
            </w:pPr>
            <w:r>
              <w:rPr>
                <w:rFonts w:ascii="仿宋_GB2312" w:hAnsi="仿宋_GB2312" w:cs="仿宋_GB2312" w:eastAsia="仿宋_GB2312"/>
              </w:rPr>
              <w:t>（1）物料：制作新闻发布会签到墙及相关会议资料服务。</w:t>
            </w:r>
          </w:p>
          <w:p>
            <w:pPr>
              <w:pStyle w:val="null3"/>
            </w:pPr>
            <w:r>
              <w:rPr>
                <w:rFonts w:ascii="仿宋_GB2312" w:hAnsi="仿宋_GB2312" w:cs="仿宋_GB2312" w:eastAsia="仿宋_GB2312"/>
              </w:rPr>
              <w:t>（2）邀请：邀请媒体中央级媒体、省级媒体、市级媒体，承担邀请媒体劳务费、住宿费、交通费。</w:t>
            </w:r>
          </w:p>
          <w:p>
            <w:pPr>
              <w:pStyle w:val="null3"/>
            </w:pPr>
            <w:r>
              <w:rPr>
                <w:rFonts w:ascii="仿宋_GB2312" w:hAnsi="仿宋_GB2312" w:cs="仿宋_GB2312" w:eastAsia="仿宋_GB2312"/>
              </w:rPr>
              <w:t>（3）执行：提供签到、引导、设备调试、摄影摄像等全程会务服务。</w:t>
            </w:r>
          </w:p>
          <w:p>
            <w:pPr>
              <w:pStyle w:val="null3"/>
            </w:pPr>
            <w:r>
              <w:rPr>
                <w:rFonts w:ascii="仿宋_GB2312" w:hAnsi="仿宋_GB2312" w:cs="仿宋_GB2312" w:eastAsia="仿宋_GB2312"/>
              </w:rPr>
              <w:t>3.宣传策划</w:t>
            </w:r>
          </w:p>
          <w:p>
            <w:pPr>
              <w:pStyle w:val="null3"/>
            </w:pPr>
            <w:r>
              <w:rPr>
                <w:rFonts w:ascii="仿宋_GB2312" w:hAnsi="仿宋_GB2312" w:cs="仿宋_GB2312" w:eastAsia="仿宋_GB2312"/>
              </w:rPr>
              <w:t>（1）总方案：制定大赛全周期宣传方案，报采购人审核后执行。</w:t>
            </w:r>
          </w:p>
          <w:p>
            <w:pPr>
              <w:pStyle w:val="null3"/>
            </w:pPr>
            <w:r>
              <w:rPr>
                <w:rFonts w:ascii="仿宋_GB2312" w:hAnsi="仿宋_GB2312" w:cs="仿宋_GB2312" w:eastAsia="仿宋_GB2312"/>
              </w:rPr>
              <w:t>（2）图文创作：撰写新闻稿件、制作微信推文等工作。</w:t>
            </w:r>
          </w:p>
          <w:p>
            <w:pPr>
              <w:pStyle w:val="null3"/>
            </w:pPr>
            <w:r>
              <w:rPr>
                <w:rFonts w:ascii="仿宋_GB2312" w:hAnsi="仿宋_GB2312" w:cs="仿宋_GB2312" w:eastAsia="仿宋_GB2312"/>
              </w:rPr>
              <w:t>（3）赛后总结：提交《大赛宣传工作总结报告》1份，含传播数据统计、效果评估、改进建议。</w:t>
            </w:r>
          </w:p>
          <w:p>
            <w:pPr>
              <w:pStyle w:val="null3"/>
            </w:pPr>
            <w:r>
              <w:rPr>
                <w:rFonts w:ascii="仿宋_GB2312" w:hAnsi="仿宋_GB2312" w:cs="仿宋_GB2312" w:eastAsia="仿宋_GB2312"/>
              </w:rPr>
              <w:t>4.户外投放</w:t>
            </w:r>
          </w:p>
          <w:p>
            <w:pPr>
              <w:pStyle w:val="null3"/>
            </w:pPr>
            <w:r>
              <w:rPr>
                <w:rFonts w:ascii="仿宋_GB2312" w:hAnsi="仿宋_GB2312" w:cs="仿宋_GB2312" w:eastAsia="仿宋_GB2312"/>
              </w:rPr>
              <w:t>（1）投放渠道：在比赛场馆主要干道、机场、火车站、公交站牌、选手入住酒店等渠道进行户外宣传物料投放，如：灯杆道旗、大赛宣传口号等，以采购人确认为准。</w:t>
            </w:r>
          </w:p>
          <w:p>
            <w:pPr>
              <w:pStyle w:val="null3"/>
            </w:pPr>
            <w:r>
              <w:rPr>
                <w:rFonts w:ascii="仿宋_GB2312" w:hAnsi="仿宋_GB2312" w:cs="仿宋_GB2312" w:eastAsia="仿宋_GB2312"/>
              </w:rPr>
              <w:t>（2）电子屏宣传：机场、火车站、地铁、地标建筑的电子屏宣传投放，具体内容以采购人确认为准。</w:t>
            </w:r>
          </w:p>
          <w:p>
            <w:pPr>
              <w:pStyle w:val="null3"/>
            </w:pPr>
            <w:r>
              <w:rPr>
                <w:rFonts w:ascii="仿宋_GB2312" w:hAnsi="仿宋_GB2312" w:cs="仿宋_GB2312" w:eastAsia="仿宋_GB2312"/>
              </w:rPr>
              <w:t>（3）投放时长：每个投放点投放时长按采购人要求执行。</w:t>
            </w:r>
          </w:p>
          <w:p>
            <w:pPr>
              <w:pStyle w:val="null3"/>
            </w:pPr>
            <w:r>
              <w:rPr>
                <w:rFonts w:ascii="仿宋_GB2312" w:hAnsi="仿宋_GB2312" w:cs="仿宋_GB2312" w:eastAsia="仿宋_GB2312"/>
              </w:rPr>
              <w:t>（4）投放内容：使用大赛主视觉设计，内容须经采购人审核。</w:t>
            </w:r>
          </w:p>
          <w:p>
            <w:pPr>
              <w:pStyle w:val="null3"/>
            </w:pPr>
            <w:r>
              <w:rPr>
                <w:rFonts w:ascii="仿宋_GB2312" w:hAnsi="仿宋_GB2312" w:cs="仿宋_GB2312" w:eastAsia="仿宋_GB2312"/>
              </w:rPr>
              <w:t>5.吉祥物征集及制作</w:t>
            </w:r>
          </w:p>
          <w:p>
            <w:pPr>
              <w:pStyle w:val="null3"/>
            </w:pPr>
            <w:r>
              <w:rPr>
                <w:rFonts w:ascii="仿宋_GB2312" w:hAnsi="仿宋_GB2312" w:cs="仿宋_GB2312" w:eastAsia="仿宋_GB2312"/>
              </w:rPr>
              <w:t>（1）征集：协助采购人完成大赛吉祥物设计征集工作。</w:t>
            </w:r>
          </w:p>
          <w:p>
            <w:pPr>
              <w:pStyle w:val="null3"/>
            </w:pPr>
            <w:r>
              <w:rPr>
                <w:rFonts w:ascii="仿宋_GB2312" w:hAnsi="仿宋_GB2312" w:cs="仿宋_GB2312" w:eastAsia="仿宋_GB2312"/>
              </w:rPr>
              <w:t>（2）实体制作：制作吉祥物毛绒玩偶不少于3000个（尺寸20cm*30cm）。</w:t>
            </w:r>
          </w:p>
          <w:p>
            <w:pPr>
              <w:pStyle w:val="null3"/>
            </w:pPr>
            <w:r>
              <w:rPr>
                <w:rFonts w:ascii="仿宋_GB2312" w:hAnsi="仿宋_GB2312" w:cs="仿宋_GB2312" w:eastAsia="仿宋_GB2312"/>
              </w:rPr>
              <w:t>（3）材质要求：毛绒玩具材质符合国家安全标准，无异味、不掉毛、无安全隐患。</w:t>
            </w:r>
          </w:p>
          <w:p>
            <w:pPr>
              <w:pStyle w:val="null3"/>
            </w:pPr>
            <w:r>
              <w:rPr>
                <w:rFonts w:ascii="仿宋_GB2312" w:hAnsi="仿宋_GB2312" w:cs="仿宋_GB2312" w:eastAsia="仿宋_GB2312"/>
              </w:rPr>
              <w:t>（4）样品确认：提供成品样品报采购人确认后方可批量制作。</w:t>
            </w:r>
          </w:p>
          <w:p>
            <w:pPr>
              <w:pStyle w:val="null3"/>
            </w:pPr>
            <w:r>
              <w:rPr>
                <w:rFonts w:ascii="仿宋_GB2312" w:hAnsi="仿宋_GB2312" w:cs="仿宋_GB2312" w:eastAsia="仿宋_GB2312"/>
              </w:rPr>
              <w:t>二、赛事规模与具体参数项目</w:t>
            </w:r>
          </w:p>
          <w:tbl>
            <w:tblPr>
              <w:tblBorders>
                <w:top w:val="none" w:color="000000" w:sz="4"/>
                <w:left w:val="none" w:color="000000" w:sz="4"/>
                <w:bottom w:val="none" w:color="000000" w:sz="4"/>
                <w:right w:val="none" w:color="000000" w:sz="4"/>
                <w:insideH w:val="none"/>
                <w:insideV w:val="none"/>
              </w:tblBorders>
            </w:tblPr>
            <w:tblGrid>
              <w:gridCol w:w="420"/>
              <w:gridCol w:w="2127"/>
            </w:tblGrid>
            <w:tr>
              <w:tc>
                <w:tcPr>
                  <w:tcW w:type="dxa" w:w="420"/>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项目</w:t>
                  </w:r>
                </w:p>
              </w:tc>
              <w:tc>
                <w:tcPr>
                  <w:tcW w:type="dxa" w:w="2127"/>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0"/>
                      <w:color w:val="000000"/>
                    </w:rPr>
                    <w:t>具体要求</w:t>
                  </w:r>
                </w:p>
              </w:tc>
            </w:tr>
            <w:tr>
              <w:tc>
                <w:tcPr>
                  <w:tcW w:type="dxa" w:w="42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赛项数量</w:t>
                  </w:r>
                </w:p>
              </w:tc>
              <w:tc>
                <w:tcPr>
                  <w:tcW w:type="dxa" w:w="212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0"/>
                      <w:color w:val="000000"/>
                    </w:rPr>
                    <w:t>设置</w:t>
                  </w:r>
                  <w:r>
                    <w:rPr>
                      <w:rFonts w:ascii="仿宋_GB2312" w:hAnsi="仿宋_GB2312" w:cs="仿宋_GB2312" w:eastAsia="仿宋_GB2312"/>
                      <w:sz w:val="20"/>
                      <w:color w:val="000000"/>
                    </w:rPr>
                    <w:t>22个竞赛项目（1.世赛选拔项目8个：CAD机械设计、软件测试、汽车技术、电子技术、砌筑、花艺、数字交互媒体设计、零售。2.国赛精选项目10个：电工、装配钳工、互联网营销、工业机器人系统运维、无人机应用技术、鸿蒙应用开发、育婴、养老护理、智能网联汽车装调运维、中式烹调。3.省级特色项目4个：飞机维修、3D打印技术、形象设计(长安汉唐妆造)、宠物美容。）</w:t>
                  </w:r>
                </w:p>
              </w:tc>
            </w:tr>
            <w:tr>
              <w:tc>
                <w:tcPr>
                  <w:tcW w:type="dxa" w:w="42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参赛规模</w:t>
                  </w:r>
                </w:p>
              </w:tc>
              <w:tc>
                <w:tcPr>
                  <w:tcW w:type="dxa" w:w="212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0"/>
                      <w:color w:val="000000"/>
                    </w:rPr>
                    <w:t>预计参赛选手</w:t>
                  </w:r>
                  <w:r>
                    <w:rPr>
                      <w:rFonts w:ascii="仿宋_GB2312" w:hAnsi="仿宋_GB2312" w:cs="仿宋_GB2312" w:eastAsia="仿宋_GB2312"/>
                      <w:sz w:val="20"/>
                      <w:color w:val="000000"/>
                    </w:rPr>
                    <w:t>700人，裁判300人，合计约1000人</w:t>
                  </w:r>
                </w:p>
              </w:tc>
            </w:tr>
            <w:tr>
              <w:tc>
                <w:tcPr>
                  <w:tcW w:type="dxa" w:w="42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比赛天数</w:t>
                  </w:r>
                </w:p>
              </w:tc>
              <w:tc>
                <w:tcPr>
                  <w:tcW w:type="dxa" w:w="212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0"/>
                      <w:color w:val="000000"/>
                    </w:rPr>
                    <w:t>比赛</w:t>
                  </w:r>
                  <w:r>
                    <w:rPr>
                      <w:rFonts w:ascii="仿宋_GB2312" w:hAnsi="仿宋_GB2312" w:cs="仿宋_GB2312" w:eastAsia="仿宋_GB2312"/>
                      <w:sz w:val="20"/>
                      <w:color w:val="000000"/>
                    </w:rPr>
                    <w:t>3天，赛前准备7-10天，赛后撤场2天</w:t>
                  </w:r>
                </w:p>
              </w:tc>
            </w:tr>
            <w:tr>
              <w:tc>
                <w:tcPr>
                  <w:tcW w:type="dxa" w:w="42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场地面积</w:t>
                  </w:r>
                </w:p>
              </w:tc>
              <w:tc>
                <w:tcPr>
                  <w:tcW w:type="dxa" w:w="212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0"/>
                      <w:color w:val="000000"/>
                    </w:rPr>
                    <w:t>22个比赛区不低于17600平方米，每个赛项约800平米</w:t>
                  </w:r>
                </w:p>
              </w:tc>
            </w:tr>
            <w:tr>
              <w:tc>
                <w:tcPr>
                  <w:tcW w:type="dxa" w:w="42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0"/>
                      <w:color w:val="000000"/>
                    </w:rPr>
                    <w:t>宣传覆盖</w:t>
                  </w:r>
                </w:p>
              </w:tc>
              <w:tc>
                <w:tcPr>
                  <w:tcW w:type="dxa" w:w="2127"/>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0"/>
                      <w:color w:val="000000"/>
                    </w:rPr>
                    <w:t>制定并实施全媒体宣传方案，通过省级以上媒体、新媒体平台及户外广告等多种渠道开展宣传工作，确保宣传覆盖面广、传播力强、社会影响力显著，具体要求以采购人审定方案为准。</w:t>
                  </w:r>
                </w:p>
              </w:tc>
            </w:tr>
          </w:tbl>
          <w:p>
            <w:pPr>
              <w:pStyle w:val="null3"/>
            </w:pPr>
            <w:r>
              <w:br/>
            </w:r>
            <w:r>
              <w:rPr>
                <w:rFonts w:ascii="仿宋_GB2312" w:hAnsi="仿宋_GB2312" w:cs="仿宋_GB2312" w:eastAsia="仿宋_GB2312"/>
              </w:rPr>
              <w:t xml:space="preserve"> 注：竞赛现场及各项目布置的具体内容，按照采购人以及各比赛项目实施保障单位提出的要求协助实施，最终以正式报名人数及设备设施等实际情况进行调整为准。</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（一）整体服务标准</w:t>
            </w:r>
          </w:p>
          <w:p>
            <w:pPr>
              <w:pStyle w:val="null3"/>
            </w:pPr>
            <w:r>
              <w:rPr>
                <w:rFonts w:ascii="仿宋_GB2312" w:hAnsi="仿宋_GB2312" w:cs="仿宋_GB2312" w:eastAsia="仿宋_GB2312"/>
              </w:rPr>
              <w:t>1.所有服务内容须符合国家及地方相关法律法规、行业规范及采购人要求。</w:t>
            </w:r>
          </w:p>
          <w:p>
            <w:pPr>
              <w:pStyle w:val="null3"/>
            </w:pPr>
            <w:r>
              <w:rPr>
                <w:rFonts w:ascii="仿宋_GB2312" w:hAnsi="仿宋_GB2312" w:cs="仿宋_GB2312" w:eastAsia="仿宋_GB2312"/>
              </w:rPr>
              <w:t>2.技术方案应科学合理，设备选型应先进可靠，符合赛项的技术发展趋势。</w:t>
            </w:r>
          </w:p>
          <w:p>
            <w:pPr>
              <w:pStyle w:val="null3"/>
            </w:pPr>
            <w:r>
              <w:rPr>
                <w:rFonts w:ascii="仿宋_GB2312" w:hAnsi="仿宋_GB2312" w:cs="仿宋_GB2312" w:eastAsia="仿宋_GB2312"/>
              </w:rPr>
              <w:t>（二）人员配置要求提供项目负责人、技术管理团队及现场执行团队。所有人员须在赛前明确分工，并进行统一培训。（三）服务响应要求</w:t>
            </w:r>
          </w:p>
          <w:p>
            <w:pPr>
              <w:pStyle w:val="null3"/>
            </w:pPr>
            <w:r>
              <w:rPr>
                <w:rFonts w:ascii="仿宋_GB2312" w:hAnsi="仿宋_GB2312" w:cs="仿宋_GB2312" w:eastAsia="仿宋_GB2312"/>
              </w:rPr>
              <w:t>1.投标人应在投标文件中提供服务响应承诺，明确各环节的响应时间。</w:t>
            </w:r>
          </w:p>
          <w:p>
            <w:pPr>
              <w:pStyle w:val="null3"/>
            </w:pPr>
            <w:r>
              <w:rPr>
                <w:rFonts w:ascii="仿宋_GB2312" w:hAnsi="仿宋_GB2312" w:cs="仿宋_GB2312" w:eastAsia="仿宋_GB2312"/>
              </w:rPr>
              <w:t>2.赛前筹备期间，项目负责人须保持7×24小时电话畅通。</w:t>
            </w:r>
          </w:p>
          <w:p>
            <w:pPr>
              <w:pStyle w:val="null3"/>
            </w:pPr>
            <w:r>
              <w:rPr>
                <w:rFonts w:ascii="仿宋_GB2312" w:hAnsi="仿宋_GB2312" w:cs="仿宋_GB2312" w:eastAsia="仿宋_GB2312"/>
              </w:rPr>
              <w:t>3.比赛期间，技术保障团队须在5分钟内响应设备故障报修。</w:t>
            </w:r>
          </w:p>
          <w:p>
            <w:pPr>
              <w:pStyle w:val="null3"/>
            </w:pPr>
            <w:r>
              <w:rPr>
                <w:rFonts w:ascii="仿宋_GB2312" w:hAnsi="仿宋_GB2312" w:cs="仿宋_GB2312" w:eastAsia="仿宋_GB2312"/>
              </w:rPr>
              <w:t>四、验收标准本项目实行分阶段验收与最终验收相结合的方式：</w:t>
            </w:r>
          </w:p>
          <w:p>
            <w:pPr>
              <w:pStyle w:val="null3"/>
            </w:pPr>
            <w:r>
              <w:rPr>
                <w:rFonts w:ascii="仿宋_GB2312" w:hAnsi="仿宋_GB2312" w:cs="仿宋_GB2312" w:eastAsia="仿宋_GB2312"/>
              </w:rPr>
              <w:t>（一）赛前验收：场地布置、设备安装调试完成后，由采购人组织赛前验收。验收不合格的，中标人须在3日内完成整改。</w:t>
            </w:r>
          </w:p>
          <w:p>
            <w:pPr>
              <w:pStyle w:val="null3"/>
            </w:pPr>
            <w:r>
              <w:rPr>
                <w:rFonts w:ascii="仿宋_GB2312" w:hAnsi="仿宋_GB2312" w:cs="仿宋_GB2312" w:eastAsia="仿宋_GB2312"/>
              </w:rPr>
              <w:t>（二）赛期监督：比赛期间，采购人派工作人员全程监督，发现服务不到位或质量问题，中标人须立即整改。</w:t>
            </w:r>
          </w:p>
          <w:p>
            <w:pPr>
              <w:pStyle w:val="null3"/>
            </w:pPr>
            <w:r>
              <w:rPr>
                <w:rFonts w:ascii="仿宋_GB2312" w:hAnsi="仿宋_GB2312" w:cs="仿宋_GB2312" w:eastAsia="仿宋_GB2312"/>
              </w:rPr>
              <w:t>（三）最终验收：赛事全部结束后，中标人提交完整服务成果（包括总结报告、影像资料、费用明细等），由采购人组织最终验收。</w:t>
            </w:r>
          </w:p>
          <w:tbl>
            <w:tblPr>
              <w:tblInd w:type="dxa" w:w="105"/>
              <w:tblBorders>
                <w:top w:val="none" w:color="000000" w:sz="4"/>
                <w:left w:val="none" w:color="000000" w:sz="4"/>
                <w:bottom w:val="none" w:color="000000" w:sz="4"/>
                <w:right w:val="none" w:color="000000" w:sz="4"/>
                <w:insideH w:val="none"/>
                <w:insideV w:val="none"/>
              </w:tblBorders>
            </w:tblPr>
            <w:tblGrid>
              <w:gridCol w:w="438"/>
              <w:gridCol w:w="438"/>
            </w:tblGrid>
            <w:tr>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验收项目</w:t>
                  </w:r>
                </w:p>
              </w:tc>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19"/>
                    </w:rPr>
                    <w:t>合格标准</w:t>
                  </w:r>
                </w:p>
              </w:tc>
            </w:tr>
            <w:tr>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赛事保障</w:t>
                  </w:r>
                </w:p>
              </w:tc>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19"/>
                    </w:rPr>
                    <w:t>赛程按计划完成，无重大安全事故，无有效投诉</w:t>
                  </w:r>
                </w:p>
              </w:tc>
            </w:tr>
            <w:tr>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设备运行</w:t>
                  </w:r>
                </w:p>
              </w:tc>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19"/>
                    </w:rPr>
                    <w:t>设备完好率不低于95%，故障响应及时</w:t>
                  </w:r>
                </w:p>
              </w:tc>
            </w:tr>
            <w:tr>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宣传成果</w:t>
                  </w:r>
                </w:p>
              </w:tc>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19"/>
                    </w:rPr>
                    <w:t>达成约定宣传指标，影像资料完整</w:t>
                  </w:r>
                </w:p>
              </w:tc>
            </w:tr>
            <w:tr>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19"/>
                    </w:rPr>
                    <w:t>总结材料</w:t>
                  </w:r>
                </w:p>
              </w:tc>
              <w:tc>
                <w:tcPr>
                  <w:tcW w:type="dxa" w:w="43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19"/>
                    </w:rPr>
                    <w:t>报告内容完整，数据准确，格式规范</w:t>
                  </w:r>
                </w:p>
              </w:tc>
            </w:tr>
          </w:tbl>
          <w:p>
            <w:pPr>
              <w:pStyle w:val="null3"/>
            </w:pPr>
            <w:r>
              <w:rPr>
                <w:rFonts w:ascii="仿宋_GB2312" w:hAnsi="仿宋_GB2312" w:cs="仿宋_GB2312" w:eastAsia="仿宋_GB2312"/>
              </w:rPr>
              <w:t>五、拟定场馆平面图详见附件3(招标文件所附图纸及设计方案均为示意性参考，仅供投标人理解采购需求及编制投标文件使用，不作为项目实施和验收的依据。中标后，中标人须根据现场实际情况进行深化设计，最终方案以采购人书面确认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投标人根据采购需求，提供项目负责⼈、技术管理团队及现场执行团队，其中项目负责⼈1名，且具有5年及以上职业技能大赛工作经验。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投标人提供满足项目所要求的设施设备。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投标报价应包括完成本项目所需的所有费⽤，包括但不限于：设备租赁费、物料费、场地费、宣传费、裁判长及裁判助理劳务费、交通费、食宿费、安保费、保险费、税费及不可预见费等。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自合同签订之日起至赛事全部完成并验收合格之日止。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投标⼈缴纳投标保证金时，请备注项目编号或项目名称。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11月1日至今已缴纳的至少一个月的纳税证明或完税证明（除印花税以外的任意税种），纳税证明或完税证明上应有代收机构或税务机关的公章或业务专用章，依法免税的单位应提供相关证明材料。 3.投标人提供2025年11月1日至今已缴存的至少一个月的社会保障资金缴存单据或社保机构开具的社会保险参保缴费情况证明，单据或证明上应有社保机构或代收机构的公章或业务专用章，依法不需要缴纳社会保障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 4.投标人提供具有履行合同所必需的设备和专业技术能力的承诺声明。 5.投标人提供参加政府采购活动前3年内，在经营活动中没有重大违法记录的书面声明。投标人需在项目电子化交易系统中按要求上传相应证明文件并进行电子签章。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s://www.creditchina.gov.cn)中列入失信被执行人和重大税收违法失信主体，不得为中国政府采购网(https://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投标⽂件的签字盖章</w:t>
            </w:r>
          </w:p>
        </w:tc>
        <w:tc>
          <w:tcPr>
            <w:tcW w:type="dxa" w:w="3322"/>
          </w:tcPr>
          <w:p>
            <w:pPr>
              <w:pStyle w:val="null3"/>
            </w:pPr>
            <w:r>
              <w:rPr>
                <w:rFonts w:ascii="仿宋_GB2312" w:hAnsi="仿宋_GB2312" w:cs="仿宋_GB2312" w:eastAsia="仿宋_GB2312"/>
              </w:rPr>
              <w:t>投标⽂件的签字盖章符合招标⽂件要求。</w:t>
            </w:r>
          </w:p>
        </w:tc>
        <w:tc>
          <w:tcPr>
            <w:tcW w:type="dxa" w:w="1661"/>
          </w:tcPr>
          <w:p>
            <w:pPr>
              <w:pStyle w:val="null3"/>
            </w:pPr>
            <w:r>
              <w:rPr>
                <w:rFonts w:ascii="仿宋_GB2312" w:hAnsi="仿宋_GB2312" w:cs="仿宋_GB2312" w:eastAsia="仿宋_GB2312"/>
              </w:rPr>
              <w:t>开标一览表 中小企业声明函 采购需求偏离表.docx 资格证明文件.docx 分项报价表.docx 投标函 其他应说明的事项.docx 残疾人福利性单位声明函 拒绝政府采购领域商业贿赂承诺书.docx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同时满⾜以下条款： （1）货币单位符合招标⽂件要求 （2）报价符合唯⼀性要求 （3）未超出采购预算和最⾼限价 （4）符合《开标⼀览表》的填报要求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投标⽂件内容</w:t>
            </w:r>
          </w:p>
        </w:tc>
        <w:tc>
          <w:tcPr>
            <w:tcW w:type="dxa" w:w="3322"/>
          </w:tcPr>
          <w:p>
            <w:pPr>
              <w:pStyle w:val="null3"/>
            </w:pPr>
            <w:r>
              <w:rPr>
                <w:rFonts w:ascii="仿宋_GB2312" w:hAnsi="仿宋_GB2312" w:cs="仿宋_GB2312" w:eastAsia="仿宋_GB2312"/>
              </w:rPr>
              <w:t>1.投标⽂件中项⽬名称、项⽬编号与本项⽬⼀致。 2.投标⽂件内容须包括但不限于：投标函、开标⼀览表、资格证明⽂件、拒绝商业贿赂承诺书、采购需求偏离表、服务⽅案等。</w:t>
            </w:r>
          </w:p>
        </w:tc>
        <w:tc>
          <w:tcPr>
            <w:tcW w:type="dxa" w:w="1661"/>
          </w:tcPr>
          <w:p>
            <w:pPr>
              <w:pStyle w:val="null3"/>
            </w:pPr>
            <w:r>
              <w:rPr>
                <w:rFonts w:ascii="仿宋_GB2312" w:hAnsi="仿宋_GB2312" w:cs="仿宋_GB2312" w:eastAsia="仿宋_GB2312"/>
              </w:rPr>
              <w:t>开标一览表 分项报价表.docx 投标函 拒绝政府采购领域商业贿赂承诺书.docx 服务方案 采购需求偏离表.docx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采购需求条款响应</w:t>
            </w:r>
          </w:p>
        </w:tc>
        <w:tc>
          <w:tcPr>
            <w:tcW w:type="dxa" w:w="3322"/>
          </w:tcPr>
          <w:p>
            <w:pPr>
              <w:pStyle w:val="null3"/>
            </w:pPr>
            <w:r>
              <w:rPr>
                <w:rFonts w:ascii="仿宋_GB2312" w:hAnsi="仿宋_GB2312" w:cs="仿宋_GB2312" w:eastAsia="仿宋_GB2312"/>
              </w:rPr>
              <w:t>应完全响应招标⽂件的采购需求，⽆负偏离。</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应符合招标⽂件的要求。</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应符合招标⽂件的要求。（投标⽂件须附保证⾦交纳凭证）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没有出现法律法规或招标⽂件规定的其他⽆效情形。</w:t>
            </w:r>
          </w:p>
        </w:tc>
        <w:tc>
          <w:tcPr>
            <w:tcW w:type="dxa" w:w="1661"/>
          </w:tcPr>
          <w:p>
            <w:pPr>
              <w:pStyle w:val="null3"/>
            </w:pPr>
            <w:r>
              <w:rPr>
                <w:rFonts w:ascii="仿宋_GB2312" w:hAnsi="仿宋_GB2312" w:cs="仿宋_GB2312" w:eastAsia="仿宋_GB2312"/>
              </w:rPr>
              <w:t>分项报价表.docx 其他应说明的事项.docx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一、评审内容：针对本项目有详细的组织实施方案，方案内容包括但不限于：①项目建设思路、②实施原则、③组织架构、④进度安排、⑤赛务保障等内容。 二、评审标准：方案内容完整，满足招标文件要求且无缺陷的，得15分。每缺少一项内容，扣3分；每项内容每存在1处缺陷，扣0.5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赛项设计方案</w:t>
            </w:r>
          </w:p>
        </w:tc>
        <w:tc>
          <w:tcPr>
            <w:tcW w:type="dxa" w:w="2492"/>
          </w:tcPr>
          <w:p>
            <w:pPr>
              <w:pStyle w:val="null3"/>
            </w:pPr>
            <w:r>
              <w:rPr>
                <w:rFonts w:ascii="仿宋_GB2312" w:hAnsi="仿宋_GB2312" w:cs="仿宋_GB2312" w:eastAsia="仿宋_GB2312"/>
              </w:rPr>
              <w:t>一、评审内容：针对本项目提供详细的赛项设计方案，方案内容包括但不限于：①集中赛项整体布局图、②赛项场馆平面布局图、③效果图、④监控点位图、⑤赛项标识等（须对标国赛技术保障要求，符合本次职业技能竞赛需求）。 二、评审标准：方案内容完整，满足招标文件要求且无缺陷的，得15分。每缺少一项内容，扣3分；每项内容每存在1处缺陷，扣0.5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报名、评分系统建设方案</w:t>
            </w:r>
          </w:p>
        </w:tc>
        <w:tc>
          <w:tcPr>
            <w:tcW w:type="dxa" w:w="2492"/>
          </w:tcPr>
          <w:p>
            <w:pPr>
              <w:pStyle w:val="null3"/>
            </w:pPr>
            <w:r>
              <w:rPr>
                <w:rFonts w:ascii="仿宋_GB2312" w:hAnsi="仿宋_GB2312" w:cs="仿宋_GB2312" w:eastAsia="仿宋_GB2312"/>
              </w:rPr>
              <w:t>一、评审内容：针对本项目提供详细的报名、评分系统建设方案，方案内容包括但不限于：①报名系统方案：须支持线上报名、资格审查、评分录入、成绩统计、排名生成、数据导出等全流程管理。②评分系统建设方案：须包含评分标准管理、人员分组、评分计划、评分表导出、分数录入、分数确认、成绩生成等板块。 二、评审标准：以上方案符合本次职业技能竞赛实际需求、方案内容完整，满足招标文件要求且无缺陷的，得15分。每缺少一项内容（报名系统方案或评分系统方案），扣7.5分；每项内容每存在1处缺陷，扣1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宣传报道实施方案</w:t>
            </w:r>
          </w:p>
        </w:tc>
        <w:tc>
          <w:tcPr>
            <w:tcW w:type="dxa" w:w="2492"/>
          </w:tcPr>
          <w:p>
            <w:pPr>
              <w:pStyle w:val="null3"/>
            </w:pPr>
            <w:r>
              <w:rPr>
                <w:rFonts w:ascii="仿宋_GB2312" w:hAnsi="仿宋_GB2312" w:cs="仿宋_GB2312" w:eastAsia="仿宋_GB2312"/>
              </w:rPr>
              <w:t>一、评审内容：针对本项目提供详细的宣传报道实施方案，方案内容包括但不限于：①媒体宣传服务、②新闻发布会会场布置及现场执行、③宣传方案策划与执行、④户外宣传物料的设计与投放、⑤吉祥物制作等内容，二、评审标准：以上方案符合本次职业技能竞赛实际需求、方案内容完整，满足招标文件要求且无缺陷的，得10分。每缺少一项内容，扣2分；每项内容每存在1处缺陷，扣0.5分，扣完为止。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安全保障及应急方案</w:t>
            </w:r>
          </w:p>
        </w:tc>
        <w:tc>
          <w:tcPr>
            <w:tcW w:type="dxa" w:w="2492"/>
          </w:tcPr>
          <w:p>
            <w:pPr>
              <w:pStyle w:val="null3"/>
            </w:pPr>
            <w:r>
              <w:rPr>
                <w:rFonts w:ascii="仿宋_GB2312" w:hAnsi="仿宋_GB2312" w:cs="仿宋_GB2312" w:eastAsia="仿宋_GB2312"/>
              </w:rPr>
              <w:t>针对本项目有详细的安全保障及应急方案，方案内容包括但不限于：安全保障、应急措施、消防措施等措施方案，满足招标文件要求 方案内容无缺陷：得5分，方案内容每存在1处缺陷：扣1分，扣完为止。 缺陷：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须提供服务质量承诺，内容须包含：服务质量、响应时间、人员到位、保密、违约责任等。承诺内容完整、具体、可行，有明确违约责任承诺的，得3分；基本完整但不够具体或可行性一般的，得2分；存在缺项或模糊不清的，得1分；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负责⼈须为投标⼈在职⼈员，且具有5年及以上职业技能⼤赛项⽬赛事服务⼯作经验。在此基础上，提供项目负责⼈2023年1⽉1⽇⾄今的职业技能⼤赛项⽬赛事服务经验证明，每提供1个赛事证明得3分，本项最⾼得6分。注：提供项目负责⼈投标⽂件递交截⽌时间前至少1个⽉的社保缴纳证明；提供项目负责⼈5年及以上⼯作经验的《项⽬负责⼈⼯作经验简介》（格式⾃拟）；提供赛事主办方（或承办方）加盖公章的证明材料，内容须明确体现项⽬负责人的姓名及所担任的岗位职责。</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供针对本项目的人员配置方案，包括项目负责人、技术管理团队及现场执⾏团队。各岗位人员的数量、学历、专业、工作经验等，承诺到采购人指定地点开展驻场办公服务，直到项目完全结束为止。①人数大于20人（含20人），人员配置方案内容完整、详细，职责分工明确，得5分；②人数大于20人（含20人），但人员配置方案内容有缺陷、职责分工不清，不完整得4分；③人数小于20人，人员配置方案内容完整、详细，得2分；④人数小于20人，且人员配置方案内容有缺陷，得1分。缺陷：内容缺项、不完整或缺少关键点；职责分工模糊或缺失；非专门针对本项目，套用其他项目内容；对同一问题前后表述矛盾；存在逻辑漏洞、常识错误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2023年1月1日以来（以合同签订时间或中标通知书时间为准），投标人具有综合性职业技能大赛项目服务经验，每提供一个有效业绩得4分，本项最高得16分。综合性职业技能大赛是指涵盖2个及以上职业领域和技能项目的职业技能竞赛活动。证明材料要求：须同时提供中标通知书和合同复印件（关键页），二者缺一不可，并加盖投标人公章。未按要求提供或提供不全的，该项业绩不予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有效的投标报价中的最低价为评标基准价，其价格分为满分。其他投标人的价格分统一按照下列公式计算：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