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版本号：CZXX-ZB-2601920260803001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《陕西应急管理》杂志项目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CZXX-ZB-26019</w:t>
      </w:r>
      <w:r>
        <w:br/>
      </w:r>
      <w:r>
        <w:br/>
      </w:r>
      <w:r>
        <w:br/>
      </w:r>
    </w:p>
    <w:p>
      <w:pPr>
        <w:pStyle w:val="null3"/>
        <w:jc w:val="center"/>
        <w:outlineLvl w:val="5"/>
      </w:pPr>
      <w:r>
        <w:rPr>
          <w:rFonts w:ascii="仿宋_GB2312" w:hAnsi="仿宋_GB2312" w:cs="仿宋_GB2312" w:eastAsia="仿宋_GB2312"/>
          <w:sz w:val="15"/>
          <w:b/>
        </w:rPr>
        <w:t>陕西省应急管理厅</w:t>
      </w:r>
    </w:p>
    <w:p>
      <w:pPr>
        <w:pStyle w:val="null3"/>
        <w:jc w:val="center"/>
        <w:outlineLvl w:val="5"/>
      </w:pPr>
      <w:r>
        <w:rPr>
          <w:rFonts w:ascii="仿宋_GB2312" w:hAnsi="仿宋_GB2312" w:cs="仿宋_GB2312" w:eastAsia="仿宋_GB2312"/>
          <w:sz w:val="15"/>
          <w:b/>
        </w:rPr>
        <w:t>中赞国际项目管理有限公司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《陕西应急管理》杂志项目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CZXX-ZB-26019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《陕西应急管理》杂志项目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围绕全省应急管理，安全生产，防灾减灾救灾等方面重要决策部署，重点工作开展情况和各市经验做法等撰写稿件，完成全年12期杂志编印，并免费向全省各级政府领导班子，省厅领导和处室单位，各市县安委会成员单位及重点企事业单位赠阅。</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1、独立承担民事责任能力：具有独立承担民事责任能力的法人、其他组织或自然人，并出具合法有效的营业执照，自然人参与的提供其身份证明；</w:t>
      </w:r>
    </w:p>
    <w:p>
      <w:pPr>
        <w:pStyle w:val="null3"/>
      </w:pPr>
      <w:r>
        <w:rPr>
          <w:rFonts w:ascii="仿宋_GB2312" w:hAnsi="仿宋_GB2312" w:cs="仿宋_GB2312" w:eastAsia="仿宋_GB2312"/>
        </w:rPr>
        <w:t>2、授权委托书：提供法定代表人授权委托书（附法定代表人、被授权人身份证复印件）及被授权人身份证（法定代表人直接参加采购项目需提供法定代表人身份证明及其身份证）；</w:t>
      </w:r>
    </w:p>
    <w:p>
      <w:pPr>
        <w:pStyle w:val="null3"/>
      </w:pPr>
      <w:r>
        <w:rPr>
          <w:rFonts w:ascii="仿宋_GB2312" w:hAnsi="仿宋_GB2312" w:cs="仿宋_GB2312" w:eastAsia="仿宋_GB2312"/>
        </w:rPr>
        <w:t>3、资质要求：提供有效的内部资料性出版物准印证；</w:t>
      </w:r>
    </w:p>
    <w:p>
      <w:pPr>
        <w:pStyle w:val="null3"/>
      </w:pPr>
      <w:r>
        <w:rPr>
          <w:rFonts w:ascii="仿宋_GB2312" w:hAnsi="仿宋_GB2312" w:cs="仿宋_GB2312" w:eastAsia="仿宋_GB2312"/>
        </w:rPr>
        <w:t>4、财务状况证明：提供2025年度的财务审计报告（至少包括资产负债表和利润表，成立时间至提交响应文件截止时间不足一年的可提供成立后任意时段的资产负债表），或在开标日期前六个月内其基本开户银行出具的资信证明；</w:t>
      </w:r>
    </w:p>
    <w:p>
      <w:pPr>
        <w:pStyle w:val="null3"/>
      </w:pPr>
      <w:r>
        <w:rPr>
          <w:rFonts w:ascii="仿宋_GB2312" w:hAnsi="仿宋_GB2312" w:cs="仿宋_GB2312" w:eastAsia="仿宋_GB2312"/>
        </w:rPr>
        <w:t>5、税收缴纳证明：提供2026年1月至响应文件提交截止日内任意一个月的纳税证明或完税证明（任意税种），依法免税的单位应提供相关证明材料；</w:t>
      </w:r>
    </w:p>
    <w:p>
      <w:pPr>
        <w:pStyle w:val="null3"/>
      </w:pPr>
      <w:r>
        <w:rPr>
          <w:rFonts w:ascii="仿宋_GB2312" w:hAnsi="仿宋_GB2312" w:cs="仿宋_GB2312" w:eastAsia="仿宋_GB2312"/>
        </w:rPr>
        <w:t>6、社会保障资金缴纳证明：提供2026年1月至响应文件提交截止日内任意一个月的社会保障资金缴存单据或社保机构开具的社会保险参保缴费情况证明，依法不需要缴纳社会保障资金的单位应提供相关证明材料；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7、履行能力承诺函：具有履行合同所必需的设备和专业技术能力承诺函；</w:t>
      </w:r>
    </w:p>
    <w:p>
      <w:pPr>
        <w:pStyle w:val="null3"/>
      </w:pPr>
      <w:r>
        <w:rPr>
          <w:rFonts w:ascii="仿宋_GB2312" w:hAnsi="仿宋_GB2312" w:cs="仿宋_GB2312" w:eastAsia="仿宋_GB2312"/>
        </w:rPr>
        <w:t>8、无重大违法记录声明：提供参加本次政府采购活动前三年内在经营活动中没有重大违法记录的书面声明；</w:t>
      </w:r>
    </w:p>
    <w:p>
      <w:pPr>
        <w:pStyle w:val="null3"/>
      </w:pPr>
      <w:r>
        <w:rPr>
          <w:rFonts w:ascii="仿宋_GB2312" w:hAnsi="仿宋_GB2312" w:cs="仿宋_GB2312" w:eastAsia="仿宋_GB2312"/>
        </w:rPr>
        <w:t>9、信用记录：供应商不得为“中国执行信息公开网（zxgk.court.gov.cn）”被列入失信被执行人名单，“信用中国（www.creditchina.gov.cn）”重大税收违法失信主体名单；不得为“中国政府采购网（www.ccgp.gov.cn）”被列入政府采购严重违法失信行为记录名单；</w:t>
      </w:r>
    </w:p>
    <w:p>
      <w:pPr>
        <w:pStyle w:val="null3"/>
      </w:pPr>
      <w:r>
        <w:rPr>
          <w:rFonts w:ascii="仿宋_GB2312" w:hAnsi="仿宋_GB2312" w:cs="仿宋_GB2312" w:eastAsia="仿宋_GB2312"/>
        </w:rPr>
        <w:t>10、联合体协商：本项目不接受联合体协商。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61166718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陕西省西安市未央区未央路2号老三届首座大厦2208室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029-32203699、15596750886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代理服务费收费标准：1、招标代理服务费按约定由中标人支付，领取中标通知书前，由中标人向采购代理机构缴纳代理服务费，一次性付清。 2、招标代理服务费以中标金额为基数参照《国家计委关于印发&lt;招标代理服务收费管理暂行办法&gt;的通知》（计价格[2002]1980号）和国家发改委办公厅颁发的《关于招标代理服务收费有关问题的通知》（发改办价格[2003]857号）的有关规定按标准收取。3采购代理服务费以转账形式缴纳至以下账户 账户户名: 中赞国际项目管理有限公司西咸分公司；开户行: 中国建设银行股份有限公司咸阳玉泉西路支行；账号：61050163360800001273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联系人：徐工</w:t>
      </w:r>
    </w:p>
    <w:p>
      <w:pPr>
        <w:pStyle w:val="null3"/>
      </w:pPr>
      <w:r>
        <w:rPr>
          <w:rFonts w:ascii="仿宋_GB2312" w:hAnsi="仿宋_GB2312" w:cs="仿宋_GB2312" w:eastAsia="仿宋_GB2312"/>
        </w:rPr>
        <w:t>联系电话：15596750886</w:t>
      </w:r>
    </w:p>
    <w:p>
      <w:pPr>
        <w:pStyle w:val="null3"/>
      </w:pPr>
      <w:r>
        <w:rPr>
          <w:rFonts w:ascii="仿宋_GB2312" w:hAnsi="仿宋_GB2312" w:cs="仿宋_GB2312" w:eastAsia="仿宋_GB2312"/>
        </w:rPr>
        <w:t>地址：陕西省西安市未央区未央路2号老三届首座大厦2208室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围绕全省应急管理，安全生产，防灾减灾救灾等方面重要决策部署，重点工作开展情况和各市经验做法等撰写稿件，完成全年12期杂志编印，并免费向全省各级政府领导班子，省厅领导和处室单位，各市县安委会成员单位及重点企事业单位赠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陕西应急管理杂志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标的名称：陕西应急管理杂志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22"/>
              <w:jc w:val="both"/>
            </w:pPr>
            <w:r>
              <w:rPr>
                <w:rFonts w:ascii="仿宋_GB2312" w:hAnsi="仿宋_GB2312" w:cs="仿宋_GB2312" w:eastAsia="仿宋_GB2312"/>
                <w:sz w:val="24"/>
              </w:rPr>
              <w:t>具备杂志期刊办刊条件的单位承办《陕西应急管理》杂志，需要有内部资料性出版物准印证，每月全省应急管理、安全生产、防灾减灾救灾等方面重要决策部署、重点工作开展情况和各市经验做法等撰写稿件，搭建全省应急系统交流学习平台，完成全年12期杂志编印，并免费向全省各级政府领导班子、各市县安委会成员单位及重点企事业单位赠阅，月发放量5000余份。</w:t>
            </w:r>
          </w:p>
          <w:p>
            <w:pPr>
              <w:pStyle w:val="null3"/>
            </w:pPr>
            <w:r>
              <w:rPr>
                <w:rFonts w:ascii="仿宋_GB2312" w:hAnsi="仿宋_GB2312" w:cs="仿宋_GB2312" w:eastAsia="仿宋_GB2312"/>
                <w:sz w:val="24"/>
              </w:rPr>
              <w:t xml:space="preserve">   具体内容如下：</w:t>
            </w:r>
          </w:p>
          <w:p>
            <w:pPr>
              <w:pStyle w:val="null3"/>
              <w:ind w:firstLine="622"/>
              <w:jc w:val="both"/>
            </w:pPr>
            <w:r>
              <w:rPr>
                <w:rFonts w:ascii="仿宋_GB2312" w:hAnsi="仿宋_GB2312" w:cs="仿宋_GB2312" w:eastAsia="仿宋_GB2312"/>
                <w:sz w:val="24"/>
              </w:rPr>
              <w:t>1.杂志印刷：《陕西应急管理》杂志为月刊，12期/年，月发行量5000份。杂志为A4开64页，封面157g铜板纸，内页80g亚粉铜板纸。乙方按标准印刷杂志，达到文字清晰、图片颜色饱满，印刷出版费用由乙方承担。</w:t>
            </w:r>
          </w:p>
          <w:p>
            <w:pPr>
              <w:pStyle w:val="null3"/>
              <w:ind w:firstLine="622"/>
              <w:jc w:val="both"/>
            </w:pPr>
            <w:r>
              <w:rPr>
                <w:rFonts w:ascii="仿宋_GB2312" w:hAnsi="仿宋_GB2312" w:cs="仿宋_GB2312" w:eastAsia="仿宋_GB2312"/>
                <w:sz w:val="24"/>
              </w:rPr>
              <w:t>2.杂志邮寄：乙方赠阅范围为全省各级政府领导班子、各市县安委会成员单位及重点企事业单位，于每月30日前按照赠阅对象地址信息邮寄杂志，邮寄费用由乙方承担。</w:t>
            </w:r>
          </w:p>
          <w:p>
            <w:pPr>
              <w:pStyle w:val="null3"/>
              <w:ind w:firstLine="622"/>
              <w:jc w:val="both"/>
            </w:pPr>
            <w:r>
              <w:rPr>
                <w:rFonts w:ascii="仿宋_GB2312" w:hAnsi="仿宋_GB2312" w:cs="仿宋_GB2312" w:eastAsia="仿宋_GB2312"/>
                <w:sz w:val="24"/>
              </w:rPr>
              <w:t>3.编采费用：乙方安排专人负责杂志内容的采写、编校，编采人员工资、社保、差旅、交通等费用均由乙方承担。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领取成交通知书前，需向采购代理机构提交加盖公章的纸质版响应文件（2份，建议双面打印）和电子版（U盘1份），应通过专用制作软件直接打印，确保与电子响应文件保持一致，不允许修改和补充。递交地点：陕西省西咸新区沣西新城天兴大厦9-002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提供法定代表人授权委托书（附法定代表人、被授权人身份证复印件）及被授权人身份证（法定代表人直接参加采购项目需提供法定代表人身份证明及其身份证）；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提供有效的内部资料性出版物准印证；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提供2025年度的财务审计报告（至少包括资产负债表和利润表，成立时间至提交响应文件截止时间不足一年的可提供成立后任意时段的资产负债表），或在开标日期前六个月内其基本开户银行出具的资信证明；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提供2026年1月至响应文件提交截止日内任意一个月的纳税证明或完税证明（任意税种），依法免税的单位应提供相关证明材料；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提供2026年1月至响应文件提交截止日内任意一个月的社会保障资金缴存单据或社保机构开具的社会保险参保缴费情况证明，依法不需要缴纳社会保障资金的单位应提供相关证明材料；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履行能力承诺函</w:t>
            </w:r>
          </w:p>
        </w:tc>
        <w:tc>
          <w:tcPr>
            <w:tcW w:type="dxa" w:w="3322"/>
          </w:tcPr>
          <w:p>
            <w:pPr>
              <w:pStyle w:val="null3"/>
            </w:pPr>
            <w:r>
              <w:rPr>
                <w:rFonts w:ascii="仿宋_GB2312" w:hAnsi="仿宋_GB2312" w:cs="仿宋_GB2312" w:eastAsia="仿宋_GB2312"/>
              </w:rPr>
              <w:t>具有履行合同所必需的设备和专业技术能力承诺函；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zxgk.court.gov.cn）”被列入失信被执行人名单，“信用中国（www.creditchina.gov.cn）”重大税收违法失信主体名单；不得为“中国政府采购网（www.ccgp.gov.cn）”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响应文件的签署、盖章符合采购文件要求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响应文件构成无重大缺项，按照采购文件要求的格式编写响应文件。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响应报价唯一，未超出采购预算或单一来源文件规定的最高限价。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响应文件的有效期、服务期达到采购文件要求</w:t>
            </w:r>
          </w:p>
        </w:tc>
        <w:tc>
          <w:tcPr>
            <w:tcW w:type="dxa" w:w="3322"/>
          </w:tcPr>
          <w:p>
            <w:pPr>
              <w:pStyle w:val="null3"/>
            </w:pPr>
            <w:r>
              <w:rPr>
                <w:rFonts w:ascii="仿宋_GB2312" w:hAnsi="仿宋_GB2312" w:cs="仿宋_GB2312" w:eastAsia="仿宋_GB2312"/>
              </w:rPr>
              <w:t>响应文件的有效期、服务期达到采购文件要求</w:t>
            </w:r>
          </w:p>
        </w:tc>
        <w:tc>
          <w:tcPr>
            <w:tcW w:type="dxa" w:w="1661"/>
          </w:tcPr>
          <w:p>
            <w:pPr>
              <w:pStyle w:val="null3"/>
            </w:pPr>
            <w:r>
              <w:rPr>
                <w:rFonts w:ascii="仿宋_GB2312" w:hAnsi="仿宋_GB2312" w:cs="仿宋_GB2312" w:eastAsia="仿宋_GB2312"/>
              </w:rPr>
              <w:t>商务应答表 服务方案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不含有采购人不能接受的附加条件</w:t>
            </w:r>
          </w:p>
        </w:tc>
        <w:tc>
          <w:tcPr>
            <w:tcW w:type="dxa" w:w="1661"/>
          </w:tcPr>
          <w:p>
            <w:pPr>
              <w:pStyle w:val="null3"/>
            </w:pPr>
            <w:r>
              <w:rPr>
                <w:rFonts w:ascii="仿宋_GB2312" w:hAnsi="仿宋_GB2312" w:cs="仿宋_GB2312" w:eastAsia="仿宋_GB2312"/>
              </w:rPr>
              <w:t>商务应答表 服务方案 服务内容及服务要求应答表 供应商应提交的相关资格证明材料</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