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版本号：HJCS2601-10820260825001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陕茶宣传推介与产销对接项目二期（第十三届中国西部国际茶产业博览会）</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HJCS2601-108</w:t>
      </w:r>
      <w:r>
        <w:br/>
      </w:r>
      <w:r>
        <w:br/>
      </w:r>
      <w:r>
        <w:br/>
      </w:r>
    </w:p>
    <w:p>
      <w:pPr>
        <w:pStyle w:val="null3"/>
        <w:jc w:val="center"/>
        <w:outlineLvl w:val="2"/>
      </w:pPr>
      <w:r>
        <w:rPr>
          <w:rFonts w:ascii="仿宋_GB2312" w:hAnsi="仿宋_GB2312" w:cs="仿宋_GB2312" w:eastAsia="仿宋_GB2312"/>
          <w:sz w:val="28"/>
          <w:b/>
        </w:rPr>
        <w:t>陕西省农产品质量安全中心</w:t>
      </w:r>
    </w:p>
    <w:p>
      <w:pPr>
        <w:pStyle w:val="null3"/>
        <w:jc w:val="center"/>
        <w:outlineLvl w:val="2"/>
      </w:pPr>
      <w:r>
        <w:rPr>
          <w:rFonts w:ascii="仿宋_GB2312" w:hAnsi="仿宋_GB2312" w:cs="仿宋_GB2312" w:eastAsia="仿宋_GB2312"/>
          <w:sz w:val="28"/>
          <w:b/>
        </w:rPr>
        <w:t>陕西海佳项目管理有限公司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陕西海佳项目管理有限公司</w:t>
      </w:r>
      <w:r>
        <w:rPr>
          <w:rFonts w:ascii="仿宋_GB2312" w:hAnsi="仿宋_GB2312" w:cs="仿宋_GB2312" w:eastAsia="仿宋_GB2312"/>
        </w:rPr>
        <w:t>（以下简称“代理机构”）受</w:t>
      </w:r>
      <w:r>
        <w:rPr>
          <w:rFonts w:ascii="仿宋_GB2312" w:hAnsi="仿宋_GB2312" w:cs="仿宋_GB2312" w:eastAsia="仿宋_GB2312"/>
        </w:rPr>
        <w:t>陕西省农产品质量安全中心</w:t>
      </w:r>
      <w:r>
        <w:rPr>
          <w:rFonts w:ascii="仿宋_GB2312" w:hAnsi="仿宋_GB2312" w:cs="仿宋_GB2312" w:eastAsia="仿宋_GB2312"/>
        </w:rPr>
        <w:t>委托，拟对</w:t>
      </w:r>
      <w:r>
        <w:rPr>
          <w:rFonts w:ascii="仿宋_GB2312" w:hAnsi="仿宋_GB2312" w:cs="仿宋_GB2312" w:eastAsia="仿宋_GB2312"/>
        </w:rPr>
        <w:t>陕茶宣传推介与产销对接项目二期（第十三届中国西部国际茶产业博览会）</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HJCS2601-108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陕茶宣传推介与产销对接项目二期（第十三届中国西部国际茶产业博览会）</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按照陕茶宣传推介与产销对接项目二期（第十三届中国西部国际茶产业博览会）相关要求，在规定条件下完成服务。详见磋商文件。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采购包1（陕茶宣传推介与产销对接项目二期（第十三届中国西部国际茶产业博览会））：属于专门面向中小企业采购。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2、法定代表人授权委托书（证明书）：法定代表人参加磋商时，提供法定代表人证明书；授权代表参加磋商时，提供法定代表人授权书；非法人单位参照执行。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p>
      <w:pPr>
        <w:pStyle w:val="null3"/>
      </w:pPr>
      <w:r>
        <w:rPr>
          <w:rFonts w:ascii="仿宋_GB2312" w:hAnsi="仿宋_GB2312" w:cs="仿宋_GB2312" w:eastAsia="仿宋_GB2312"/>
        </w:rPr>
        <w:t>4、税收缴纳证明：提供响应文件提交截止时间前半年内至少一个月已缴纳的纳税凭据或完税证明，依法免税的供应商应提供相关文件证明。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半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8、信用记录：供应商未被“信用中国”网站列入失信被执行人和重大税收违法失信主体，未被中国政府采购网列入政府采购严重违法失信行为记录名单（以现场信用记录查询结果为准）。</w:t>
      </w:r>
    </w:p>
    <w:p>
      <w:pPr>
        <w:pStyle w:val="null3"/>
      </w:pPr>
      <w:r>
        <w:rPr>
          <w:rFonts w:ascii="仿宋_GB2312" w:hAnsi="仿宋_GB2312" w:cs="仿宋_GB2312" w:eastAsia="仿宋_GB2312"/>
        </w:rPr>
        <w:t>9、非联合体投标：提供非联合体承诺书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陕西省农产品质量安全中心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西安市未央区凤城七路118号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029-86361374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西安市高新区唐延路35号旺座现代城C座2604室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魏玉才、雷鹏飞、宫晨晨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029-88765319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关于印发《招标代理服务收费管理暂行办法》的通知（计价格〔2002〕1980号）、《国家发展和改革委员会办公厅关于招标代理服务收费有关问题的通知》（发改办价格〔2003〕857号）规定向中标（成交）供应商收取代理服务费。 招标代理服务费交纳信息 银行户名： 陕西海佳项目管理有限公司 开户银行： 招商银行股份有限公司西安城西支行 账 号： 129911759510401 联 系 人： 陈茹 联系电话： 029-88765319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陕西省农产品质量安全中心</w:t>
      </w:r>
      <w:r>
        <w:rPr>
          <w:rFonts w:ascii="仿宋_GB2312" w:hAnsi="仿宋_GB2312" w:cs="仿宋_GB2312" w:eastAsia="仿宋_GB2312"/>
        </w:rPr>
        <w:t>和</w:t>
      </w:r>
      <w:r>
        <w:rPr>
          <w:rFonts w:ascii="仿宋_GB2312" w:hAnsi="仿宋_GB2312" w:cs="仿宋_GB2312" w:eastAsia="仿宋_GB2312"/>
        </w:rPr>
        <w:t>陕西海佳项目管理有限公司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陕西省农产品质量安全中心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陕西省农产品质量安全中心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联系人：宫晨晨</w:t>
      </w:r>
    </w:p>
    <w:p>
      <w:pPr>
        <w:pStyle w:val="null3"/>
      </w:pPr>
      <w:r>
        <w:rPr>
          <w:rFonts w:ascii="仿宋_GB2312" w:hAnsi="仿宋_GB2312" w:cs="仿宋_GB2312" w:eastAsia="仿宋_GB2312"/>
        </w:rPr>
        <w:t>联系电话：029-88765319</w:t>
      </w:r>
    </w:p>
    <w:p>
      <w:pPr>
        <w:pStyle w:val="null3"/>
      </w:pPr>
      <w:r>
        <w:rPr>
          <w:rFonts w:ascii="仿宋_GB2312" w:hAnsi="仿宋_GB2312" w:cs="仿宋_GB2312" w:eastAsia="仿宋_GB2312"/>
        </w:rPr>
        <w:t>地址：西安市高新区唐延路35号旺座现代城C座2604室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按照陕茶宣传推介与产销对接项目二期（第十三届中国西部国际茶产业博览会）相关要求，在规定条件下完成服务。详见磋商文件。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陕茶宣传推介与产销对接项目二期（第十三届中国西部国际茶产业博览会）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标的名称：陕茶宣传推介与产销对接项目二期（第十三届中国西部国际茶产业博览会）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名称：第十三届中国西部国际茶产业博览会</w:t>
            </w:r>
          </w:p>
          <w:p>
            <w:pPr>
              <w:pStyle w:val="null3"/>
              <w:ind w:firstLine="400"/>
              <w:jc w:val="both"/>
            </w:pPr>
            <w:r>
              <w:rPr>
                <w:rFonts w:ascii="仿宋_GB2312" w:hAnsi="仿宋_GB2312" w:cs="仿宋_GB2312" w:eastAsia="仿宋_GB2312"/>
                <w:sz w:val="20"/>
              </w:rPr>
              <w:t>时间：</w:t>
            </w: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w:t>
            </w:r>
            <w:r>
              <w:rPr>
                <w:rFonts w:ascii="仿宋_GB2312" w:hAnsi="仿宋_GB2312" w:cs="仿宋_GB2312" w:eastAsia="仿宋_GB2312"/>
                <w:sz w:val="20"/>
              </w:rPr>
              <w:t>10月29日—11月2日</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7</w:t>
            </w:r>
            <w:r>
              <w:rPr>
                <w:rFonts w:ascii="仿宋_GB2312" w:hAnsi="仿宋_GB2312" w:cs="仿宋_GB2312" w:eastAsia="仿宋_GB2312"/>
                <w:sz w:val="20"/>
              </w:rPr>
              <w:t>-2</w:t>
            </w:r>
            <w:r>
              <w:rPr>
                <w:rFonts w:ascii="仿宋_GB2312" w:hAnsi="仿宋_GB2312" w:cs="仿宋_GB2312" w:eastAsia="仿宋_GB2312"/>
                <w:sz w:val="20"/>
              </w:rPr>
              <w:t>8</w:t>
            </w:r>
            <w:r>
              <w:rPr>
                <w:rFonts w:ascii="仿宋_GB2312" w:hAnsi="仿宋_GB2312" w:cs="仿宋_GB2312" w:eastAsia="仿宋_GB2312"/>
                <w:sz w:val="20"/>
              </w:rPr>
              <w:t>日</w:t>
            </w:r>
            <w:r>
              <w:rPr>
                <w:rFonts w:ascii="仿宋_GB2312" w:hAnsi="仿宋_GB2312" w:cs="仿宋_GB2312" w:eastAsia="仿宋_GB2312"/>
                <w:sz w:val="20"/>
              </w:rPr>
              <w:t>布展）</w:t>
            </w:r>
          </w:p>
          <w:p>
            <w:pPr>
              <w:pStyle w:val="null3"/>
              <w:ind w:firstLine="400"/>
              <w:jc w:val="both"/>
            </w:pPr>
            <w:r>
              <w:rPr>
                <w:rFonts w:ascii="仿宋_GB2312" w:hAnsi="仿宋_GB2312" w:cs="仿宋_GB2312" w:eastAsia="仿宋_GB2312"/>
                <w:sz w:val="20"/>
              </w:rPr>
              <w:t>地点：</w:t>
            </w:r>
            <w:r>
              <w:rPr>
                <w:rFonts w:ascii="仿宋_GB2312" w:hAnsi="仿宋_GB2312" w:cs="仿宋_GB2312" w:eastAsia="仿宋_GB2312"/>
                <w:sz w:val="20"/>
              </w:rPr>
              <w:t>西安国际会展中心</w:t>
            </w:r>
            <w:r>
              <w:rPr>
                <w:rFonts w:ascii="仿宋_GB2312" w:hAnsi="仿宋_GB2312" w:cs="仿宋_GB2312" w:eastAsia="仿宋_GB2312"/>
                <w:sz w:val="20"/>
              </w:rPr>
              <w:t>（</w:t>
            </w:r>
            <w:r>
              <w:rPr>
                <w:rFonts w:ascii="仿宋_GB2312" w:hAnsi="仿宋_GB2312" w:cs="仿宋_GB2312" w:eastAsia="仿宋_GB2312"/>
                <w:sz w:val="20"/>
              </w:rPr>
              <w:t>西安市灞桥区会展一路</w:t>
            </w:r>
            <w:r>
              <w:rPr>
                <w:rFonts w:ascii="仿宋_GB2312" w:hAnsi="仿宋_GB2312" w:cs="仿宋_GB2312" w:eastAsia="仿宋_GB2312"/>
                <w:sz w:val="20"/>
              </w:rPr>
              <w:t>1399号</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二、招标内容</w:t>
            </w:r>
          </w:p>
          <w:p>
            <w:pPr>
              <w:pStyle w:val="null3"/>
              <w:ind w:firstLine="400"/>
              <w:jc w:val="both"/>
            </w:pPr>
            <w:r>
              <w:rPr>
                <w:rFonts w:ascii="仿宋_GB2312" w:hAnsi="仿宋_GB2312" w:cs="仿宋_GB2312" w:eastAsia="仿宋_GB2312"/>
                <w:sz w:val="20"/>
              </w:rPr>
              <w:t>（一）展区设计搭建及媒体宣传服务。包括展位费缴纳</w:t>
            </w:r>
            <w:r>
              <w:rPr>
                <w:rFonts w:ascii="仿宋_GB2312" w:hAnsi="仿宋_GB2312" w:cs="仿宋_GB2312" w:eastAsia="仿宋_GB2312"/>
                <w:sz w:val="20"/>
              </w:rPr>
              <w:t>800元/㎡，场地规划设计、搭建、现场维护及展后拆除，宣传品设计制作，展期媒体宣传等。展区位于</w:t>
            </w:r>
            <w:r>
              <w:rPr>
                <w:rFonts w:ascii="仿宋_GB2312" w:hAnsi="仿宋_GB2312" w:cs="仿宋_GB2312" w:eastAsia="仿宋_GB2312"/>
                <w:sz w:val="20"/>
              </w:rPr>
              <w:t>西安国际会展中心</w:t>
            </w:r>
            <w:r>
              <w:rPr>
                <w:rFonts w:ascii="仿宋_GB2312" w:hAnsi="仿宋_GB2312" w:cs="仿宋_GB2312" w:eastAsia="仿宋_GB2312"/>
                <w:sz w:val="20"/>
              </w:rPr>
              <w:t>丝路陕茶展区</w:t>
            </w:r>
            <w:r>
              <w:rPr>
                <w:rFonts w:ascii="仿宋_GB2312" w:hAnsi="仿宋_GB2312" w:cs="仿宋_GB2312" w:eastAsia="仿宋_GB2312"/>
                <w:sz w:val="20"/>
              </w:rPr>
              <w:t>2G02展位，总面积216㎡（长18m、宽12m），四面开口。</w:t>
            </w:r>
          </w:p>
          <w:p>
            <w:pPr>
              <w:pStyle w:val="null3"/>
              <w:ind w:firstLine="400"/>
              <w:jc w:val="both"/>
            </w:pPr>
            <w:r>
              <w:rPr>
                <w:rFonts w:ascii="仿宋_GB2312" w:hAnsi="仿宋_GB2312" w:cs="仿宋_GB2312" w:eastAsia="仿宋_GB2312"/>
                <w:sz w:val="20"/>
              </w:rPr>
              <w:t>（二）陕茶专题推介活动及相关服务。包括推介活动场地、设备器材等费用支付，相关设计制作，采购商邀请、伴手礼采买，以及推介会现场服务等。</w:t>
            </w:r>
          </w:p>
          <w:p>
            <w:pPr>
              <w:pStyle w:val="null3"/>
              <w:jc w:val="both"/>
            </w:pPr>
            <w:r>
              <w:rPr>
                <w:rFonts w:ascii="仿宋_GB2312" w:hAnsi="仿宋_GB2312" w:cs="仿宋_GB2312" w:eastAsia="仿宋_GB2312"/>
                <w:sz w:val="20"/>
                <w:b/>
              </w:rPr>
              <w:t>三、相关要求</w:t>
            </w:r>
          </w:p>
          <w:p>
            <w:pPr>
              <w:pStyle w:val="null3"/>
              <w:ind w:firstLine="400"/>
              <w:jc w:val="both"/>
            </w:pPr>
            <w:r>
              <w:rPr>
                <w:rFonts w:ascii="仿宋_GB2312" w:hAnsi="仿宋_GB2312" w:cs="仿宋_GB2312" w:eastAsia="仿宋_GB2312"/>
                <w:sz w:val="20"/>
              </w:rPr>
              <w:t>（一）服务要求。</w:t>
            </w:r>
          </w:p>
          <w:p>
            <w:pPr>
              <w:pStyle w:val="null3"/>
            </w:pPr>
            <w:r>
              <w:rPr>
                <w:rFonts w:ascii="仿宋_GB2312" w:hAnsi="仿宋_GB2312" w:cs="仿宋_GB2312" w:eastAsia="仿宋_GB2312"/>
                <w:sz w:val="20"/>
              </w:rPr>
              <w:t xml:space="preserve">        设计符合展会和展区主题要求，能充分展示陕茶品牌形象，展位设计要求风格简约明快，结构通透，美观性、创新性和功能性协调统一；施工结构安全（符合场馆安全要求，需提供展馆报馆材料）；媒体宣传、现场保障等服务需满足发标方活动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满足采购文件人员要求。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2026年10月29日—11月2日（27-28日布展）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西安国际会展中心（西安市灞桥区会展一路1399号）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其他，合同签订后，达到付款条件起7个工作日内，支付合同总金额的60.0%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其他，项目验收合格后，达到付款条件起7个工作日内，支付合同总金额的40.0%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一、本项目采购标的所属行业为：租赁和商务服务业 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 三、根据《陕西省财政厅关于持续优化政府采购营商环境有关事项的通知》（陕财办采〔2024〕9 号）文件的通知，采购人在中标（成交）通知书发出之日起 25 日内，按照采购文件确定的事项与中标（成交）供应商签订政府采购合同。 四、如采购文件中融资相关内容与新政策要求有出入，按照最新要求执行。五、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供应商需在项⽬电⼦化交易系统中按要求上传相应证明⽂件并进⾏电⼦签章。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提供响应文件提交截止时间前半年内至少一个月已缴纳的纳税凭据或完税证明，依法免税的供应商应提供相关文件证明。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提供响应文件截止时间前半年内已缴存的至少一个月的社会保障资金缴存单据，或社保机构出具的社会保险参保缴费情况证明，依法不需要缴纳社会保障资金的单位应提供相关证明材料。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供应商未被“信用中国”网站列入失信被执行人和重大税收违法失信主体，未被中国政府采购网列入政府采购严重违法失信行为记录名单（以现场信用记录查询结果为准）。</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提供非联合体承诺书</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（1）响应文件的签字、盖章：投标文件上法定代表人或其委托代理人的签字齐全并加盖单位章；响应文件应逐页加盖单位公章，且公章清晰可见； （2）响应文件格式：应符合磋商文件要求； （3）报价唯一：只能有一个有效报价，不得提交选择性报价，且报价不超过限价</w:t>
            </w:r>
          </w:p>
        </w:tc>
        <w:tc>
          <w:tcPr>
            <w:tcW w:type="dxa" w:w="1661"/>
          </w:tcPr>
          <w:p>
            <w:pPr>
              <w:pStyle w:val="null3"/>
            </w:pPr>
            <w:r>
              <w:rPr>
                <w:rFonts w:ascii="仿宋_GB2312" w:hAnsi="仿宋_GB2312" w:cs="仿宋_GB2312" w:eastAsia="仿宋_GB2312"/>
              </w:rPr>
              <w:t>响应文件封面 分项报价表.docx 商务响应偏离表.docx 中小企业声明函 残疾人福利性单位声明函 服务响应偏离表.docx 标的清单 报价表 响应函 服务方案.docx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（1）对磋商文件响应程度：要求全面响应，不能有任何采购人不能接受的附加条件； （2）服务期限：应满足磋商文件要求； （3) 服务地点：应满足磋商文件要求； （4）有效期：应满足磋商文件要求。</w:t>
            </w:r>
          </w:p>
        </w:tc>
        <w:tc>
          <w:tcPr>
            <w:tcW w:type="dxa" w:w="1661"/>
          </w:tcPr>
          <w:p>
            <w:pPr>
              <w:pStyle w:val="null3"/>
            </w:pPr>
            <w:r>
              <w:rPr>
                <w:rFonts w:ascii="仿宋_GB2312" w:hAnsi="仿宋_GB2312" w:cs="仿宋_GB2312" w:eastAsia="仿宋_GB2312"/>
              </w:rPr>
              <w:t>商务响应偏离表.docx 服务响应偏离表.docx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根据供应商针对本项目制定的实施方案（包括但不限于场地规划设计、搭建、会场布置、工作流程节点梳理、工作制度，宣传品设计制作、展期媒体宣传、会议现场的管理、组织及协调，团队人员安排、秩序维护、安保计划、后勤保障、医疗救援等方面）进行评审： 1、项目实施方案内容详细完整、科学合理、针对性强、可行性高，完全满足项目采购要求的，计12分； 2、项目实施方案内容较为详细完整、科学合理，针对性较强、可行性较高，满足项目采购要求的，计9分； 3、项目实施方案内容基本完整、合理，针对性、可行性一般，基本满足项目采购要求的，计6分； 4、项目实施方案内容不够详细完整，合理性、针对性、可行性较差，部分满足项目采购要求的，计3分； 5、未提供或其他不得分。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一、评审内容：供应商根据提出的服务要求制定进度安排及保障措施，包含但不限于：①工作时间计划、②进度控制节点安排、③进度保障措施等内容。 二、评审标准： 1.完整性：实施方案须全面，思路清晰、分析透彻，内容完整、方案科学、合理； 2.可实施性；切合本项目实际情况，步骤明确、可操作性强； 3.针对性：总体方案能够紧扣项目实际情况，专业性强、内容科学、合理。 三、赋分标准（9 分） ①工作时间计划：每完全满足一个评审标准得 1 分，满分3 分; ②进度控制节点安排：每完全满足一个评审标准得 1 分，满分3 分; ③进度保障措施等内容：每完全满足一个评审标准得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1、项目服务质量保障措施具体、合理、可行，且完全满足设计方案修改、汇报进度等要求，计10分； 2、项目服务质量保障措施比较具体、合理、可行，能够满足设计方案修改、汇报进度等要求，计8分； 3、项目服务质量保障措施一般，合理性、可行性一般，计5分； 4、项目服务质量保障措施较差，合理性、可行性较差，计3分； 5、未提供或其他不得分。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根据供应商提供的应急预案及突发事件应急保障措施进行评审： 1、应急预案内容分析全面、具体、合理，应对突发事件的保障措施详细、可行、有针对性，计9分； 2、应急预案内容分析较为全面、具体、合理，应对突发事件的保障措施较为详细、可行，比较有针对性，计6分； 3、应急预案内容分析不够全面、具体、合理，应对突发事件的保障措施不够详细，可行性、针对性较差，计3分； 4、未提供或其他不得分。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针对供应商的服务承诺进行评审，承诺内容包含：①服务内容、②服务期限、③解决问题时间、④有独立服务能力等内容。承诺内容齐全得12分，少一项扣3分，扣完为止。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团队配齐专属项目负责人、展览设计人员、活动执行人员、会议现场管理人员、宣传策划人员、安全专职人员、医疗救援人员7类标配岗位人员的，本项得基础分7分；在7类标配人员全部配齐的前提下，每额外增配1名专职工作人员加2分，本项分值上限23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供应商提供2023年1月1日至投标截止时间止类似项目业绩，每提供一份有效业绩得5分，满分15分。 备注：业绩证明材料须提供合同复印件并加盖供应商公章，业绩认定时间以合同签订日期为准。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满足磋商文件要求且磋商价格最低的磋商报价为评审基准价，其价格分为满分。其他供应商的价格分统一按照下列公式计算： 磋商报价得分=（评审基准价/磋商评审价）×10%×100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