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版本号：JXRC-26072120260821003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经开院区职工通勤车服务项目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JXRC-260721</w:t>
      </w:r>
      <w:r>
        <w:br/>
      </w:r>
      <w:r>
        <w:br/>
      </w:r>
      <w:r>
        <w:br/>
      </w:r>
    </w:p>
    <w:p>
      <w:pPr>
        <w:pStyle w:val="null3"/>
        <w:jc w:val="center"/>
        <w:outlineLvl w:val="2"/>
      </w:pPr>
      <w:r>
        <w:rPr>
          <w:rFonts w:ascii="仿宋_GB2312" w:hAnsi="仿宋_GB2312" w:cs="仿宋_GB2312" w:eastAsia="仿宋_GB2312"/>
          <w:sz w:val="28"/>
          <w:b/>
        </w:rPr>
        <w:t>西安市中心医院</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经开院区职工通勤车服务项目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JXRC-260721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经开院区职工通勤车服务项目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经开院区职工通勤车服务项目合同已到期，为了不影响职工正常通勤，现对经开院区职工通勤车服务项目实施招标。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采购包1（经开院区职工通勤车服务项目）：属于专门面向中小企业采购。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rFonts w:ascii="仿宋_GB2312" w:hAnsi="仿宋_GB2312" w:cs="仿宋_GB2312" w:eastAsia="仿宋_GB2312"/>
        </w:rPr>
        <w:t>2、供应商应有良好的财务状况：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p>
      <w:pPr>
        <w:pStyle w:val="null3"/>
      </w:pPr>
      <w:r>
        <w:rPr>
          <w:rFonts w:ascii="仿宋_GB2312" w:hAnsi="仿宋_GB2312" w:cs="仿宋_GB2312" w:eastAsia="仿宋_GB2312"/>
        </w:rPr>
        <w:t>3、供应商应有依法缴纳税收的良好记录：供应商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p>
      <w:pPr>
        <w:pStyle w:val="null3"/>
      </w:pPr>
      <w:r>
        <w:rPr>
          <w:rFonts w:ascii="仿宋_GB2312" w:hAnsi="仿宋_GB2312" w:cs="仿宋_GB2312" w:eastAsia="仿宋_GB2312"/>
        </w:rPr>
        <w:t>4、供应商应有依法缴纳社会保障资金的良好记录：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p>
      <w:pPr>
        <w:pStyle w:val="null3"/>
      </w:pPr>
      <w:r>
        <w:rPr>
          <w:rFonts w:ascii="仿宋_GB2312" w:hAnsi="仿宋_GB2312" w:cs="仿宋_GB2312" w:eastAsia="仿宋_GB2312"/>
        </w:rPr>
        <w:t>5、法定代表授权书：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p>
      <w:pPr>
        <w:pStyle w:val="null3"/>
      </w:pPr>
      <w:r>
        <w:rPr>
          <w:rFonts w:ascii="仿宋_GB2312" w:hAnsi="仿宋_GB2312" w:cs="仿宋_GB2312" w:eastAsia="仿宋_GB2312"/>
        </w:rPr>
        <w:t>6、参加本次政府采购活动前三年内，在经营活动中没有重大违法记录：供应商需提供《无重大违法记录声明》完成承诺；</w:t>
      </w:r>
    </w:p>
    <w:p>
      <w:pPr>
        <w:pStyle w:val="null3"/>
      </w:pPr>
      <w:r>
        <w:rPr>
          <w:rFonts w:ascii="仿宋_GB2312" w:hAnsi="仿宋_GB2312" w:cs="仿宋_GB2312" w:eastAsia="仿宋_GB2312"/>
        </w:rPr>
        <w:t>7、供应商应具有履行合同所必需的设备和专业技术能力：供应商需提供《具有履行合同所必需的设备和专业技术能力的承诺书》完成承诺；</w:t>
      </w:r>
    </w:p>
    <w:p>
      <w:pPr>
        <w:pStyle w:val="null3"/>
      </w:pPr>
      <w:r>
        <w:rPr>
          <w:rFonts w:ascii="仿宋_GB2312" w:hAnsi="仿宋_GB2312" w:cs="仿宋_GB2312" w:eastAsia="仿宋_GB2312"/>
        </w:rPr>
        <w:t>8、供应商资质：供应商须提供交通管理部门核发有效的《道路运输经营许可证》。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曲慧、陆频、张海、田颖琦、陈利娜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代理服务费收费标准：参照原中华人民共和国国家计划委员会计价格[2002]1980号文下浮20%计算收取，具体收费额以采购代理机构出具的发票为准。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西安市中心医院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经开院区职工通勤车服务项目合同已到期，为了不影响职工正常通勤，现对经开院区职工通勤车服务项目实施招标。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经开院区职工通勤车服务项目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标的名称：经开院区职工通勤车服务项目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5"/>
              <w:gridCol w:w="125"/>
              <w:gridCol w:w="2204"/>
            </w:tblGrid>
            <w:tr>
              <w:tc>
                <w:tcPr>
                  <w:tcW w:type="dxa" w:w="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color w:val="000000"/>
                    </w:rPr>
                    <w:t>参数性质</w:t>
                  </w:r>
                </w:p>
              </w:tc>
              <w:tc>
                <w:tcPr>
                  <w:tcW w:type="dxa" w:w="2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技术参数与性能指标</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一、服务内容：</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、职工通勤班车</w:t>
                  </w:r>
                </w:p>
                <w:p>
                  <w:pPr>
                    <w:pStyle w:val="null3"/>
                    <w:jc w:val="left"/>
                  </w:pPr>
                  <w:r>
                    <w:rPr>
                      <w:rFonts w:ascii="仿宋_GB2312" w:hAnsi="仿宋_GB2312" w:cs="仿宋_GB2312" w:eastAsia="仿宋_GB2312"/>
                      <w:sz w:val="24"/>
                      <w:color w:val="000000"/>
                    </w:rPr>
                    <w:t>1.1.1</w:t>
                  </w:r>
                  <w:r>
                    <w:rPr>
                      <w:rFonts w:ascii="仿宋_GB2312" w:hAnsi="仿宋_GB2312" w:cs="仿宋_GB2312" w:eastAsia="仿宋_GB2312"/>
                      <w:sz w:val="24"/>
                      <w:color w:val="000000"/>
                    </w:rPr>
                    <w:t>线路情况：</w:t>
                  </w:r>
                </w:p>
                <w:p>
                  <w:pPr>
                    <w:pStyle w:val="null3"/>
                    <w:jc w:val="left"/>
                  </w:pPr>
                  <w:r>
                    <w:rPr>
                      <w:rFonts w:ascii="仿宋_GB2312" w:hAnsi="仿宋_GB2312" w:cs="仿宋_GB2312" w:eastAsia="仿宋_GB2312"/>
                      <w:sz w:val="24"/>
                      <w:color w:val="000000"/>
                    </w:rPr>
                    <w:t>①</w:t>
                  </w:r>
                  <w:r>
                    <w:rPr>
                      <w:rFonts w:ascii="仿宋_GB2312" w:hAnsi="仿宋_GB2312" w:cs="仿宋_GB2312" w:eastAsia="仿宋_GB2312"/>
                      <w:sz w:val="24"/>
                      <w:color w:val="000000"/>
                    </w:rPr>
                    <w:t>早：由西安市中心医院北大街院区至西安市中心医院经开院区。</w:t>
                  </w:r>
                </w:p>
                <w:p>
                  <w:pPr>
                    <w:pStyle w:val="null3"/>
                    <w:jc w:val="left"/>
                  </w:pPr>
                  <w:r>
                    <w:rPr>
                      <w:rFonts w:ascii="仿宋_GB2312" w:hAnsi="仿宋_GB2312" w:cs="仿宋_GB2312" w:eastAsia="仿宋_GB2312"/>
                      <w:sz w:val="24"/>
                      <w:color w:val="000000"/>
                    </w:rPr>
                    <w:t>晚：由西安市中心医院经开院区至西安市中心医院北大街院区。</w:t>
                  </w:r>
                </w:p>
                <w:p>
                  <w:pPr>
                    <w:pStyle w:val="null3"/>
                    <w:jc w:val="left"/>
                  </w:pPr>
                  <w:r>
                    <w:rPr>
                      <w:rFonts w:ascii="仿宋_GB2312" w:hAnsi="仿宋_GB2312" w:cs="仿宋_GB2312" w:eastAsia="仿宋_GB2312"/>
                      <w:sz w:val="24"/>
                      <w:color w:val="000000"/>
                    </w:rPr>
                    <w:t>②</w:t>
                  </w:r>
                  <w:r>
                    <w:rPr>
                      <w:rFonts w:ascii="仿宋_GB2312" w:hAnsi="仿宋_GB2312" w:cs="仿宋_GB2312" w:eastAsia="仿宋_GB2312"/>
                      <w:sz w:val="24"/>
                      <w:color w:val="000000"/>
                    </w:rPr>
                    <w:t>早：由行政中心地铁站至西安市中心医院经开院区。</w:t>
                  </w:r>
                </w:p>
                <w:p>
                  <w:pPr>
                    <w:pStyle w:val="null3"/>
                    <w:jc w:val="left"/>
                  </w:pPr>
                  <w:r>
                    <w:rPr>
                      <w:rFonts w:ascii="仿宋_GB2312" w:hAnsi="仿宋_GB2312" w:cs="仿宋_GB2312" w:eastAsia="仿宋_GB2312"/>
                      <w:sz w:val="24"/>
                      <w:color w:val="000000"/>
                    </w:rPr>
                    <w:t>晚：由西安市中心医院经开院区至行政中心地铁站。</w:t>
                  </w:r>
                </w:p>
                <w:p>
                  <w:pPr>
                    <w:pStyle w:val="null3"/>
                    <w:jc w:val="left"/>
                  </w:pPr>
                  <w:r>
                    <w:rPr>
                      <w:rFonts w:ascii="仿宋_GB2312" w:hAnsi="仿宋_GB2312" w:cs="仿宋_GB2312" w:eastAsia="仿宋_GB2312"/>
                      <w:sz w:val="24"/>
                      <w:color w:val="000000"/>
                    </w:rPr>
                    <w:t>备注：各线路早、晚必须途径西铜高速公路到达目的地。</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1.1.2</w:t>
                  </w:r>
                  <w:r>
                    <w:rPr>
                      <w:rFonts w:ascii="仿宋_GB2312" w:hAnsi="仿宋_GB2312" w:cs="仿宋_GB2312" w:eastAsia="仿宋_GB2312"/>
                      <w:sz w:val="24"/>
                      <w:color w:val="000000"/>
                    </w:rPr>
                    <w:t>收费标准</w:t>
                  </w:r>
                </w:p>
                <w:tbl>
                  <w:tblPr>
                    <w:tblBorders>
                      <w:top w:val="none" w:color="000000" w:sz="4"/>
                      <w:left w:val="none" w:color="000000" w:sz="4"/>
                      <w:bottom w:val="none" w:color="000000" w:sz="4"/>
                      <w:right w:val="none" w:color="000000" w:sz="4"/>
                      <w:insideH w:val="none"/>
                      <w:insideV w:val="none"/>
                    </w:tblBorders>
                  </w:tblPr>
                  <w:tblGrid>
                    <w:gridCol w:w="663"/>
                    <w:gridCol w:w="663"/>
                    <w:gridCol w:w="663"/>
                  </w:tblGrid>
                  <w:tr>
                    <w:tc>
                      <w:tcPr>
                        <w:tcW w:type="dxa" w:w="66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车型</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线路①</w:t>
                        </w:r>
                      </w:p>
                      <w:p>
                        <w:pPr>
                          <w:pStyle w:val="null3"/>
                          <w:jc w:val="left"/>
                        </w:pPr>
                        <w:r>
                          <w:rPr>
                            <w:rFonts w:ascii="仿宋_GB2312" w:hAnsi="仿宋_GB2312" w:cs="仿宋_GB2312" w:eastAsia="仿宋_GB2312"/>
                            <w:sz w:val="24"/>
                            <w:color w:val="000000"/>
                          </w:rPr>
                          <w:t>单趟限价（元）</w:t>
                        </w:r>
                      </w:p>
                    </w:tc>
                    <w:tc>
                      <w:tcPr>
                        <w:tcW w:type="dxa" w:w="66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线路②</w:t>
                        </w:r>
                      </w:p>
                      <w:p>
                        <w:pPr>
                          <w:pStyle w:val="null3"/>
                          <w:jc w:val="left"/>
                        </w:pPr>
                        <w:r>
                          <w:rPr>
                            <w:rFonts w:ascii="仿宋_GB2312" w:hAnsi="仿宋_GB2312" w:cs="仿宋_GB2312" w:eastAsia="仿宋_GB2312"/>
                            <w:sz w:val="24"/>
                            <w:color w:val="000000"/>
                          </w:rPr>
                          <w:t>单趟限价（元）</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中型客车（19座）</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330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315</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大型客车（35-39座）</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380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360</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大型客车（45-49座）</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430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410</w:t>
                        </w:r>
                      </w:p>
                    </w:tc>
                  </w:tr>
                  <w:tr>
                    <w:tc>
                      <w:tcPr>
                        <w:tcW w:type="dxa" w:w="66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合计</w:t>
                        </w:r>
                      </w:p>
                    </w:tc>
                    <w:tc>
                      <w:tcPr>
                        <w:tcW w:type="dxa" w:w="1326"/>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2225</w:t>
                        </w:r>
                      </w:p>
                    </w:tc>
                  </w:tr>
                  <w:tr>
                    <w:tc>
                      <w:tcPr>
                        <w:tcW w:type="dxa" w:w="1989"/>
                        <w:gridSpan w:val="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color w:val="000000"/>
                          </w:rPr>
                          <w:t>备注：</w:t>
                        </w:r>
                      </w:p>
                      <w:p>
                        <w:pPr>
                          <w:pStyle w:val="null3"/>
                          <w:jc w:val="left"/>
                        </w:pPr>
                        <w:r>
                          <w:rPr>
                            <w:rFonts w:ascii="仿宋_GB2312" w:hAnsi="仿宋_GB2312" w:cs="仿宋_GB2312" w:eastAsia="仿宋_GB2312"/>
                            <w:sz w:val="24"/>
                            <w:color w:val="000000"/>
                          </w:rPr>
                          <w:t>①以上报价为含税价，总价一次性包死，包括但不限于租车费、停车费、加油费、过路过桥费、高速费、人员工资等费用；</w:t>
                        </w:r>
                      </w:p>
                      <w:p>
                        <w:pPr>
                          <w:pStyle w:val="null3"/>
                          <w:jc w:val="left"/>
                        </w:pPr>
                        <w:r>
                          <w:rPr>
                            <w:rFonts w:ascii="仿宋_GB2312" w:hAnsi="仿宋_GB2312" w:cs="仿宋_GB2312" w:eastAsia="仿宋_GB2312"/>
                            <w:sz w:val="24"/>
                            <w:color w:val="000000"/>
                          </w:rPr>
                          <w:t>②各线路早、晚必须途径西铜高速公路到达目的地。</w:t>
                        </w:r>
                      </w:p>
                    </w:tc>
                  </w:tr>
                </w:tbl>
                <w:p>
                  <w:pPr>
                    <w:pStyle w:val="null3"/>
                    <w:jc w:val="left"/>
                  </w:pP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1.1.3</w:t>
                  </w:r>
                  <w:r>
                    <w:rPr>
                      <w:rFonts w:ascii="仿宋_GB2312" w:hAnsi="仿宋_GB2312" w:cs="仿宋_GB2312" w:eastAsia="仿宋_GB2312"/>
                      <w:sz w:val="24"/>
                      <w:color w:val="000000"/>
                    </w:rPr>
                    <w:t>所有座位均配备符合国家安全标准的安全带，灭火器和安全锤等安全设施配置齐全。</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1.1.4</w:t>
                  </w:r>
                  <w:r>
                    <w:rPr>
                      <w:rFonts w:ascii="仿宋_GB2312" w:hAnsi="仿宋_GB2312" w:cs="仿宋_GB2312" w:eastAsia="仿宋_GB2312"/>
                      <w:sz w:val="24"/>
                      <w:color w:val="000000"/>
                    </w:rPr>
                    <w:t>运营模式：每天定点定时接送医院职工上下班，每天早晚发车，根据需求决定每天发车趟次与车型。</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1.1.5</w:t>
                  </w:r>
                  <w:r>
                    <w:rPr>
                      <w:rFonts w:ascii="仿宋_GB2312" w:hAnsi="仿宋_GB2312" w:cs="仿宋_GB2312" w:eastAsia="仿宋_GB2312"/>
                      <w:sz w:val="24"/>
                      <w:color w:val="000000"/>
                    </w:rPr>
                    <w:t>发车时间及地点（</w:t>
                  </w:r>
                  <w:r>
                    <w:rPr>
                      <w:rFonts w:ascii="仿宋_GB2312" w:hAnsi="仿宋_GB2312" w:cs="仿宋_GB2312" w:eastAsia="仿宋_GB2312"/>
                      <w:sz w:val="21"/>
                    </w:rPr>
                    <w:t>具体发车时间可根据采购人要求调整</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上午发车地点及时间：①西安市中心医院北大街院区：6:35-6:50发车；②行政中心地铁站口：7:05-7：20发车。</w:t>
                  </w:r>
                </w:p>
                <w:p>
                  <w:pPr>
                    <w:pStyle w:val="null3"/>
                    <w:jc w:val="left"/>
                  </w:pPr>
                  <w:r>
                    <w:rPr>
                      <w:rFonts w:ascii="仿宋_GB2312" w:hAnsi="仿宋_GB2312" w:cs="仿宋_GB2312" w:eastAsia="仿宋_GB2312"/>
                      <w:sz w:val="24"/>
                      <w:color w:val="000000"/>
                    </w:rPr>
                    <w:t>下午发车地点及时间：西安市中心医院（经开院区），16:40-17：00发车。</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二、车辆要求：</w:t>
                  </w:r>
                </w:p>
                <w:p>
                  <w:pPr>
                    <w:pStyle w:val="null3"/>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车辆安全机件、机械性能完好、技术参数清楚、明确，满足用户使用要求。车辆使用年限5年之内，或者公里数在15万公里以内。</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2.2</w:t>
                  </w:r>
                  <w:r>
                    <w:rPr>
                      <w:rFonts w:ascii="仿宋_GB2312" w:hAnsi="仿宋_GB2312" w:cs="仿宋_GB2312" w:eastAsia="仿宋_GB2312"/>
                      <w:sz w:val="24"/>
                      <w:color w:val="000000"/>
                    </w:rPr>
                    <w:t>车辆手续齐全，符合营运要求并提供相关证明。</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7</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车辆必须经过国家法定部门检验合格，符合国家交通安全标准的车辆，车况良好，尾气排放达标。</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8</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2.4</w:t>
                  </w:r>
                  <w:r>
                    <w:rPr>
                      <w:rFonts w:ascii="仿宋_GB2312" w:hAnsi="仿宋_GB2312" w:cs="仿宋_GB2312" w:eastAsia="仿宋_GB2312"/>
                      <w:sz w:val="24"/>
                      <w:color w:val="000000"/>
                    </w:rPr>
                    <w:t>三项保险齐全，包括交通强制险、承运人责任险（不低于100万元）和商业第三者责任险（不低于100万元）。</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9</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2.5</w:t>
                  </w:r>
                  <w:r>
                    <w:rPr>
                      <w:rFonts w:ascii="仿宋_GB2312" w:hAnsi="仿宋_GB2312" w:cs="仿宋_GB2312" w:eastAsia="仿宋_GB2312"/>
                      <w:sz w:val="24"/>
                      <w:color w:val="000000"/>
                    </w:rPr>
                    <w:t>需提供相同标准的备用车一辆。</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2.6</w:t>
                  </w:r>
                  <w:r>
                    <w:rPr>
                      <w:rFonts w:ascii="仿宋_GB2312" w:hAnsi="仿宋_GB2312" w:cs="仿宋_GB2312" w:eastAsia="仿宋_GB2312"/>
                      <w:sz w:val="24"/>
                      <w:color w:val="000000"/>
                    </w:rPr>
                    <w:t>成交供应商按照采购人指定要求制作车身两侧标记横幅，并在通勤时悬挂。</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11</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三、驾驶员要求：</w:t>
                  </w:r>
                </w:p>
                <w:p>
                  <w:pPr>
                    <w:pStyle w:val="null3"/>
                    <w:jc w:val="left"/>
                  </w:pPr>
                  <w:r>
                    <w:rPr>
                      <w:rFonts w:ascii="仿宋_GB2312" w:hAnsi="仿宋_GB2312" w:cs="仿宋_GB2312" w:eastAsia="仿宋_GB2312"/>
                      <w:sz w:val="24"/>
                      <w:color w:val="000000"/>
                    </w:rPr>
                    <w:t>3.1</w:t>
                  </w:r>
                  <w:r>
                    <w:rPr>
                      <w:rFonts w:ascii="仿宋_GB2312" w:hAnsi="仿宋_GB2312" w:cs="仿宋_GB2312" w:eastAsia="仿宋_GB2312"/>
                      <w:sz w:val="24"/>
                      <w:color w:val="000000"/>
                    </w:rPr>
                    <w:t>客运从业资格证</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12</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3.2</w:t>
                  </w:r>
                  <w:r>
                    <w:rPr>
                      <w:rFonts w:ascii="仿宋_GB2312" w:hAnsi="仿宋_GB2312" w:cs="仿宋_GB2312" w:eastAsia="仿宋_GB2312"/>
                      <w:sz w:val="24"/>
                      <w:color w:val="000000"/>
                    </w:rPr>
                    <w:t>具有A类驾照3年以上驾驶经历</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13</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3.3</w:t>
                  </w:r>
                  <w:r>
                    <w:rPr>
                      <w:rFonts w:ascii="仿宋_GB2312" w:hAnsi="仿宋_GB2312" w:cs="仿宋_GB2312" w:eastAsia="仿宋_GB2312"/>
                      <w:sz w:val="24"/>
                      <w:color w:val="000000"/>
                    </w:rPr>
                    <w:t>身体健康，无传染病史。</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14</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3.4</w:t>
                  </w:r>
                  <w:r>
                    <w:rPr>
                      <w:rFonts w:ascii="仿宋_GB2312" w:hAnsi="仿宋_GB2312" w:cs="仿宋_GB2312" w:eastAsia="仿宋_GB2312"/>
                      <w:sz w:val="24"/>
                      <w:color w:val="000000"/>
                    </w:rPr>
                    <w:t>最近三年无重大交通责任事故。</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15</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3.5</w:t>
                  </w:r>
                  <w:r>
                    <w:rPr>
                      <w:rFonts w:ascii="仿宋_GB2312" w:hAnsi="仿宋_GB2312" w:cs="仿宋_GB2312" w:eastAsia="仿宋_GB2312"/>
                      <w:sz w:val="24"/>
                      <w:color w:val="000000"/>
                    </w:rPr>
                    <w:t>最近三年连续3个记分周期内没有被计满分记录，无饮酒或者醉驾记录，近一年内无驾驶客运车辆超员、超载等严重交通违法行为，提供相关证明或承诺。</w:t>
                  </w:r>
                </w:p>
              </w:tc>
            </w:tr>
            <w:tr>
              <w:tc>
                <w:tcPr>
                  <w:tcW w:type="dxa" w:w="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备注：以上所有</w:t>
                  </w:r>
                  <w:r>
                    <w:rPr>
                      <w:rFonts w:ascii="仿宋_GB2312" w:hAnsi="仿宋_GB2312" w:cs="仿宋_GB2312" w:eastAsia="仿宋_GB2312"/>
                      <w:sz w:val="24"/>
                    </w:rPr>
                    <w:t>服务</w:t>
                  </w:r>
                  <w:r>
                    <w:rPr>
                      <w:rFonts w:ascii="仿宋_GB2312" w:hAnsi="仿宋_GB2312" w:cs="仿宋_GB2312" w:eastAsia="仿宋_GB2312"/>
                      <w:sz w:val="24"/>
                    </w:rPr>
                    <w:t>指标必须满足要求没有负偏离，否则按无效文件处理</w:t>
                  </w:r>
                  <w:r>
                    <w:rPr>
                      <w:rFonts w:ascii="仿宋_GB2312" w:hAnsi="仿宋_GB2312" w:cs="仿宋_GB2312" w:eastAsia="仿宋_GB2312"/>
                      <w:sz w:val="24"/>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1.每辆车配备队长一名，司机一名，内勤人员一名； 2.队长需具备车辆调度管理经验。内勤人员应具有大专及以上学历，年龄45岁以下。</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支付以合同付款方式为主。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据实结算，每月根据每日发车签字表，双方次月初进行对账，确认无误后，供应商开具等额的正式发票，采购人收到发票后15日内完成审核并付款，因乙方延迟提供的，甲方有权拒付任何款项且不承担任何责任，同时并不因此免除乙方的任意合同义务，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付款方式： 因系统编制问题，支付约定以合同签订为主。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供应商应有良好的财务状况</w:t>
            </w:r>
          </w:p>
        </w:tc>
        <w:tc>
          <w:tcPr>
            <w:tcW w:type="dxa" w:w="3322"/>
          </w:tcPr>
          <w:p>
            <w:pPr>
              <w:pStyle w:val="null3"/>
            </w:pPr>
            <w:r>
              <w:rPr>
                <w:rFonts w:ascii="仿宋_GB2312" w:hAnsi="仿宋_GB2312" w:cs="仿宋_GB2312" w:eastAsia="仿宋_GB2312"/>
              </w:rPr>
              <w:t>提供经审计的2025年度完整有效的财务审计报告复印件（财务报告是指经会计师事务所审计的上述指定年度整个会计年度财务报表,复印件至少须包括报告正文、资产负债表、现金流量表、利润表、所有者权益变动表及附注和会计师事务所营业执照，报告正文应当有会计师事务所公章和2名注册会计师的签字及盖章。且审计报告应当经过注册会计师行业统一监管平台备案赋码）或在开标日期前六个月内其基本开户银行出具的资信证明(附《基本存款账户信息》或《银行开户许可证》复印件)或信用担保机构出具的投标担保函，以上三种形式的资料提供任何一种即可（分支机构如无法提供财务审计报告，须出具包含分支机构的财务数据的总公司财务审计报告）；事业单位零余额账户提供相应证明; 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供应商应有依法缴纳税收的良好记录</w:t>
            </w:r>
          </w:p>
        </w:tc>
        <w:tc>
          <w:tcPr>
            <w:tcW w:type="dxa" w:w="3322"/>
          </w:tcPr>
          <w:p>
            <w:pPr>
              <w:pStyle w:val="null3"/>
            </w:pPr>
            <w:r>
              <w:rPr>
                <w:rFonts w:ascii="仿宋_GB2312" w:hAnsi="仿宋_GB2312" w:cs="仿宋_GB2312" w:eastAsia="仿宋_GB2312"/>
              </w:rPr>
              <w:t>供应商提供自近一年以来任意一个月的纳税证明或完税证明，纳税证明或完税证明上应有代收机构或税务机关的公章或业务专用章；其他组织和自然人提供自近一年以来以来任意一个月缴纳税收的凭据；依法免税的供应商应提供相关文件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供应商应有依法缴纳社会保障资金的良好记录</w:t>
            </w:r>
          </w:p>
        </w:tc>
        <w:tc>
          <w:tcPr>
            <w:tcW w:type="dxa" w:w="3322"/>
          </w:tcPr>
          <w:p>
            <w:pPr>
              <w:pStyle w:val="null3"/>
            </w:pPr>
            <w:r>
              <w:rPr>
                <w:rFonts w:ascii="仿宋_GB2312" w:hAnsi="仿宋_GB2312" w:cs="仿宋_GB2312" w:eastAsia="仿宋_GB2312"/>
              </w:rPr>
              <w:t>提供自近一年以来任意一个月已缴纳的社会保障资金的证明（社会保障资金缴存单据或社保机构开具的社会保险参保缴费情况证明等)；依法不需要缴纳社会保障资金的供应商应提供相关证明文件，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人/负责人授权书：法定代表人/负责人直接参加的，只须递交《法定代表人/负责人身份证明》；法定代表人/负责人授权代表参加的，须递交《法定代表人/负责人授权书》；并提供被授权人截止开标前近三个月在本公司的社会保障资金缴纳证明，并进行电子签章。</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供应商需提供《无重大违法记录声明》完成承诺；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供应商应具有履行合同所必需的设备和专业技术能力</w:t>
            </w:r>
          </w:p>
        </w:tc>
        <w:tc>
          <w:tcPr>
            <w:tcW w:type="dxa" w:w="3322"/>
          </w:tcPr>
          <w:p>
            <w:pPr>
              <w:pStyle w:val="null3"/>
            </w:pPr>
            <w:r>
              <w:rPr>
                <w:rFonts w:ascii="仿宋_GB2312" w:hAnsi="仿宋_GB2312" w:cs="仿宋_GB2312" w:eastAsia="仿宋_GB2312"/>
              </w:rPr>
              <w:t>供应商需提供《具有履行合同所必需的设备和专业技术能力的承诺书》完成承诺；</w:t>
            </w:r>
          </w:p>
        </w:tc>
        <w:tc>
          <w:tcPr>
            <w:tcW w:type="dxa" w:w="1661"/>
          </w:tcPr>
          <w:p>
            <w:pPr>
              <w:pStyle w:val="null3"/>
            </w:pPr>
            <w:r>
              <w:rPr>
                <w:rFonts w:ascii="仿宋_GB2312" w:hAnsi="仿宋_GB2312" w:cs="仿宋_GB2312" w:eastAsia="仿宋_GB2312"/>
              </w:rPr>
              <w:t>供应商资格</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供应商须提供交通管理部门核发有效的《道路运输经营许可证》。</w:t>
            </w:r>
          </w:p>
        </w:tc>
        <w:tc>
          <w:tcPr>
            <w:tcW w:type="dxa" w:w="1661"/>
          </w:tcPr>
          <w:p>
            <w:pPr>
              <w:pStyle w:val="null3"/>
            </w:pPr>
            <w:r>
              <w:rPr>
                <w:rFonts w:ascii="仿宋_GB2312" w:hAnsi="仿宋_GB2312" w:cs="仿宋_GB2312" w:eastAsia="仿宋_GB2312"/>
              </w:rPr>
              <w:t>供应商资格</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供应商应当加盖供应商（法定名称）电子印章。</w:t>
            </w:r>
          </w:p>
        </w:tc>
        <w:tc>
          <w:tcPr>
            <w:tcW w:type="dxa" w:w="1661"/>
          </w:tcPr>
          <w:p>
            <w:pPr>
              <w:pStyle w:val="null3"/>
            </w:pPr>
            <w:r>
              <w:rPr>
                <w:rFonts w:ascii="仿宋_GB2312" w:hAnsi="仿宋_GB2312" w:cs="仿宋_GB2312" w:eastAsia="仿宋_GB2312"/>
              </w:rPr>
              <w:t>响应文件封面 服务响应偏离表 其他材料 供应商基本信息 服务方案 供应商企业关联关系说明书 供应商业绩</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供应商必须满足采购文件的商务要求。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供应商须提供承诺书（格式见投标文件格式附件）</w:t>
            </w:r>
          </w:p>
        </w:tc>
        <w:tc>
          <w:tcPr>
            <w:tcW w:type="dxa" w:w="1661"/>
          </w:tcPr>
          <w:p>
            <w:pPr>
              <w:pStyle w:val="null3"/>
            </w:pPr>
            <w:r>
              <w:rPr>
                <w:rFonts w:ascii="仿宋_GB2312" w:hAnsi="仿宋_GB2312" w:cs="仿宋_GB2312" w:eastAsia="仿宋_GB2312"/>
              </w:rPr>
              <w:t>供应商承诺书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单趟报价不得超过单趟限价</w:t>
            </w:r>
          </w:p>
        </w:tc>
        <w:tc>
          <w:tcPr>
            <w:tcW w:type="dxa" w:w="1661"/>
          </w:tcPr>
          <w:p>
            <w:pPr>
              <w:pStyle w:val="null3"/>
            </w:pPr>
            <w:r>
              <w:rPr>
                <w:rFonts w:ascii="仿宋_GB2312" w:hAnsi="仿宋_GB2312" w:cs="仿宋_GB2312" w:eastAsia="仿宋_GB2312"/>
              </w:rPr>
              <w:t>分项报价表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供应商针对本项目提供服务方案，内容包括：①服务内容及质量标准；②服务理念及目标；③总体服务方案；④人员协调措施⑤车辆协调措施。 二、评审标准 1、完整性：方案须全面合理，架构完整对评审内容中的各项要求有详细描述； 2、可实施性：切合本项目实际情况，实施步骤清晰、合理； 3、针对性：方案能够紧扣本项目实际情况，内容科学合理。 三、赋分依据（满分15分） 上述5项评审内容全部满足评审标准得15分；每有一项评审内容缺项扣3分；每有一项评审内容存在缺陷，扣（0-3）分。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车辆情况说明</w:t>
            </w:r>
          </w:p>
        </w:tc>
        <w:tc>
          <w:tcPr>
            <w:tcW w:type="dxa" w:w="2492"/>
          </w:tcPr>
          <w:p>
            <w:pPr>
              <w:pStyle w:val="null3"/>
            </w:pPr>
            <w:r>
              <w:rPr>
                <w:rFonts w:ascii="仿宋_GB2312" w:hAnsi="仿宋_GB2312" w:cs="仿宋_GB2312" w:eastAsia="仿宋_GB2312"/>
              </w:rPr>
              <w:t>一、评审内容 供应商针对本项目提供车辆情况说明，提供包括但不限于①对本项目拟投入服务车辆进行针对性说明，响应提供车辆手续、车辆实景彩色照片、行驶证等相关佐证材料，材料规范完整且加盖供应商公章；②结合项目服务需求，详细说明拟投入车辆的出厂使用年限情况，以机动车行驶证发证日期为判定依据，清晰体现车辆适配本项目服务的使用条件等相关核心内容。 二、评审标准 1、完整性：方案须全面合理，架构完整对评审内容中的各项要求有详细描述； 2、可实施性：切合本项目实际情况，实施步骤清晰、合理； 3、针对性：方案能够紧扣本项目实际情况，内容科学合理。 三、赋分依据（满分10分） 上述2项评审内容全部满足评审标准得10分；每有一项评审内容缺项扣5分；每有一项评审内容存在缺陷，扣（0-5）分。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车辆配备方案</w:t>
            </w:r>
          </w:p>
        </w:tc>
        <w:tc>
          <w:tcPr>
            <w:tcW w:type="dxa" w:w="2492"/>
          </w:tcPr>
          <w:p>
            <w:pPr>
              <w:pStyle w:val="null3"/>
            </w:pPr>
            <w:r>
              <w:rPr>
                <w:rFonts w:ascii="仿宋_GB2312" w:hAnsi="仿宋_GB2312" w:cs="仿宋_GB2312" w:eastAsia="仿宋_GB2312"/>
              </w:rPr>
              <w:t>配置要求：（1）中型客车（19 座）：数量≥ 2 辆；（2）大型客车（35-39 座）：数量≥ 4 辆；（3）大型客车（45-49 座）：数量≥ 4 辆。 1、（满分8分）供应商拟投入本项目的车辆同时满足以上全部配置要求的，得 8 分。 2、（满分2分）在满足上述基础配置要求的前提下，以上三类车型每类每增加 1 辆，加 0.5 分；最多得2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人员配置计划</w:t>
            </w:r>
          </w:p>
        </w:tc>
        <w:tc>
          <w:tcPr>
            <w:tcW w:type="dxa" w:w="2492"/>
          </w:tcPr>
          <w:p>
            <w:pPr>
              <w:pStyle w:val="null3"/>
            </w:pPr>
            <w:r>
              <w:rPr>
                <w:rFonts w:ascii="仿宋_GB2312" w:hAnsi="仿宋_GB2312" w:cs="仿宋_GB2312" w:eastAsia="仿宋_GB2312"/>
              </w:rPr>
              <w:t>供应商须提供拟投入本项目全部管理人员、驾驶员配套材料，所有复印件均加盖供应商公章。 1、（满分4分）管理人员要求：提供完整管理人员配置清单，每名管理人员同步提供用工合同、学历证明、近 3 个月社保证明、工作履历复印件，所有人员材料齐全得 4 分，任意 1 人缺失任意一份材料扣 1 分；未提供本项不得分； 2、（满分6分）驾驶员要求：提供完整驾驶员安排名单，每名驾驶员同步提供半年内有效体检报告、公安出具无犯罪记录证明、无吸毒史证明、身心健康证明，所有驾驶员材料齐全得 6 分，任意 1 人缺失任意一份材料扣 1.5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服务承诺及培训方案</w:t>
            </w:r>
          </w:p>
        </w:tc>
        <w:tc>
          <w:tcPr>
            <w:tcW w:type="dxa" w:w="2492"/>
          </w:tcPr>
          <w:p>
            <w:pPr>
              <w:pStyle w:val="null3"/>
            </w:pPr>
            <w:r>
              <w:rPr>
                <w:rFonts w:ascii="仿宋_GB2312" w:hAnsi="仿宋_GB2312" w:cs="仿宋_GB2312" w:eastAsia="仿宋_GB2312"/>
              </w:rPr>
              <w:t>一、评审内容 结合本项目的实际，供应商提供服务承诺以及培训方案，内容包含：①服务承诺（包括但不限于整个项目服务期限内的质量、人员到位情况、服务响应时间、配合程度）；②培训方案（包括但不限于定期组织上岗服务人员的专业礼仪培训等）。 二、评审标准 1、完整性：内容必须全面，对评审内容中的各项要求有详细描述； 2、可实施性：切合项目具体情况，提出责任明确、要求具体的方案； 3、针对性：方案能够紧扣项目实际情况，内容科学合理。 三、赋分依据（满分10分） 上述2项评审内容全部满足评审标准得10分；每有一项评审内容缺项扣5分；每有一项评审内容存在缺陷，扣（0-5）分。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结合本项目的实际，供应商提供包括：①针对恶劣天气的应急预案；②突发事件（不限于堵车、交通事故、中暑、低血糖等相关事件）的应急预案以及处置办法。 二、评审标准 1、完整性：内容必须全面，对评审内容中的各项要求有详细描述； 2、可实施性：切合项目具体情况，提出责任明确、要求具体的方案； 3、针对性：方案能够紧扣项目实际情况，内容科学合理。 三、赋分标准（满分5分） 上述2项评审内容全部满足评审标准得5分；每有一项评审内容缺项扣2.5分；每有一项评审内容存在缺陷，扣（0-2.5）分。 说明：缺陷是指内容没有结合项目实际需求、虽有内容但不完善、内容表述前后不一致、套用其他项目方案或与项目需求不匹配及其他不利于项目实施的等任意一种情形；未提供不得分。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车辆资源与资质</w:t>
            </w:r>
          </w:p>
        </w:tc>
        <w:tc>
          <w:tcPr>
            <w:tcW w:type="dxa" w:w="2492"/>
          </w:tcPr>
          <w:p>
            <w:pPr>
              <w:pStyle w:val="null3"/>
            </w:pPr>
            <w:r>
              <w:rPr>
                <w:rFonts w:ascii="仿宋_GB2312" w:hAnsi="仿宋_GB2312" w:cs="仿宋_GB2312" w:eastAsia="仿宋_GB2312"/>
              </w:rPr>
              <w:t>1. 车辆保险保障（满分5分） 供应商须如实提供本项目拟投入服务车辆的有效保单扫描件（加盖供应商公章），依据车辆保险投保标准逐项计分，未按要求提供有效佐证材料的本项不得分。计分规则如下： 1）车辆第三者责任险保额≥200万元，得2分； 2）驾乘人员意外险每座保额≥200万元，得2分； 3） 驾乘人员意外险每座保额为100万元（含）-200万元，得1分； 保额未达到上述标准、险种缺失的，对应分项不予计分。 2. 车辆维修保障资质（满分2分） 供应商拥有自有机动车维修厂，并提供有效的维修资质证书复印件（加盖供应商公章），可独立承担本项目车辆维修保养工作的，得2分。采用外包维保方式、未提供有效资质材料或资质无效的，本项不计分。 3. 备用车辆保障（满分2分） 供应商为本项目配套提供1台相同标准备用服务车辆，可保障项目服务连续性与应急替补需求的，得2分；未提供备用车辆或备用车辆标准与本项目投入车辆标准不一致、无法满足应急替补要求的，本项不计分。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1.故障备用车响应时效（满分2分） 供应商须提供加盖公章的书面响应时效承诺文件，严格按照承诺时效标准计分，未提供有效加盖公章书面承诺的本项不得分。 1）书面承诺车辆发生故障后，备用车辆15分钟内到场替换的，得2分； 2）书面承诺车辆发生故障后，备用车辆(15-30）分钟内到场替换的，得1.5分； 3）承诺到场时效超过30分钟或未提供相关时效承诺的，得0分。 2. 延误故障赔付承诺（2 分）：书面承诺发生延误、车辆故障时按每小时固定标准赔付采购人，赔付标准明确可量化得2分；承诺内容不完整或者未提供该项承诺得0分。书面承诺须加盖公章。 3. 车辆保洁消杀服务（2分）：同时书面承诺每日收车深度保洁、每周全车消杀、每月内饰清洗共三项内容得2分；承诺内容不完整或者未提供该项承诺得0分。书面承诺须加盖公章。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提供近三年（2023年8月至今）同类业绩证明材料（加盖公章），业绩证明材料以完整合同复印件为准。每提供一个项目的合同计2分，最多得10分，提供不全或不提供不得分。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满足采购文件要求且投标价格最低的投标报价为评标基准价，其价格分为满分。其他供应商的价格分统一按照下列公式计算：投标报价得分=(评标基准价／投标报价)×15。计算分数时四舍五入取小数点后两位。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详见附件：供应商企业关联关系说明书</w:t>
      </w:r>
    </w:p>
    <w:p>
      <w:pPr>
        <w:pStyle w:val="null3"/>
        <w:ind w:firstLine="960"/>
      </w:pPr>
      <w:r>
        <w:rPr>
          <w:rFonts w:ascii="仿宋_GB2312" w:hAnsi="仿宋_GB2312" w:cs="仿宋_GB2312" w:eastAsia="仿宋_GB2312"/>
        </w:rPr>
        <w:t>详见附件：供应商基本信息</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详见附件：供应商资格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