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版本号：CQDL20260920260527002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汉中市南郑区圣水镇农村地区散煤综合治理项目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CQDL202609</w:t>
      </w:r>
      <w:r>
        <w:br/>
      </w:r>
      <w:r>
        <w:br/>
      </w:r>
      <w:r>
        <w:br/>
      </w:r>
    </w:p>
    <w:p>
      <w:pPr>
        <w:pStyle w:val="null3"/>
        <w:jc w:val="center"/>
        <w:outlineLvl w:val="2"/>
      </w:pPr>
      <w:r>
        <w:rPr>
          <w:rFonts w:ascii="仿宋_GB2312" w:hAnsi="仿宋_GB2312" w:cs="仿宋_GB2312" w:eastAsia="仿宋_GB2312"/>
          <w:sz w:val="28"/>
          <w:b/>
        </w:rPr>
        <w:t>汉中市南郑区圣水镇人民政府</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汉中市南郑区圣水镇人民政府</w:t>
      </w:r>
      <w:r>
        <w:rPr>
          <w:rFonts w:ascii="仿宋_GB2312" w:hAnsi="仿宋_GB2312" w:cs="仿宋_GB2312" w:eastAsia="仿宋_GB2312"/>
        </w:rPr>
        <w:t>委托，拟对</w:t>
      </w:r>
      <w:r>
        <w:rPr>
          <w:rFonts w:ascii="仿宋_GB2312" w:hAnsi="仿宋_GB2312" w:cs="仿宋_GB2312" w:eastAsia="仿宋_GB2312"/>
        </w:rPr>
        <w:t>汉中市南郑区圣水镇农村地区散煤综合治理项目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汉中市南郑区圣水镇农村地区散煤综合治理项目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清洁供暖，改善能源结构的重点项目，采购内容为：空气源热泵热风机1000台，面向符合补助标准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汉中市南郑区圣水镇人民政府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圣水镇中营社区1组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汉中市南郑区圣水镇人民政府经办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15891666040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空气源热泵热风机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收费管理暂行办法的通知》（计价格〔2002〕1980号）和国家发改委办公厅《关于招标代理服务收费有关问题的通知》（发改办价格〔2003〕857号）文件规定标准收取 采购结果将在陕西省政府采购网予以公告。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汉中市南郑区圣水镇人民政府</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汉中市南郑区圣水镇人民政府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汉中市南郑区圣水镇人民政府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清洁供暖，改善能源结构的重点项目，采购内容为：空气源热泵热风机1000台，面向符合补助标准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空气源热泵热风机</w:t>
            </w:r>
          </w:p>
        </w:tc>
        <w:tc>
          <w:tcPr>
            <w:tcW w:type="dxa" w:w="755"/>
          </w:tcPr>
          <w:p>
            <w:pPr>
              <w:pStyle w:val="null3"/>
              <w:jc w:val="right"/>
            </w:pPr>
            <w:r>
              <w:rPr>
                <w:rFonts w:ascii="仿宋_GB2312" w:hAnsi="仿宋_GB2312" w:cs="仿宋_GB2312" w:eastAsia="仿宋_GB2312"/>
              </w:rPr>
              <w:t>1,000.00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标的名称：空气源热泵热风机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额定电压</w:t>
            </w:r>
            <w:r>
              <w:rPr>
                <w:rFonts w:ascii="仿宋_GB2312" w:hAnsi="仿宋_GB2312" w:cs="仿宋_GB2312" w:eastAsia="仿宋_GB2312"/>
                <w:sz w:val="21"/>
              </w:rPr>
              <w:t>/频率：220v/50Hz</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名义制热量：</w:t>
            </w:r>
            <w:r>
              <w:rPr>
                <w:rFonts w:ascii="仿宋_GB2312" w:hAnsi="仿宋_GB2312" w:cs="仿宋_GB2312" w:eastAsia="仿宋_GB2312"/>
                <w:sz w:val="21"/>
              </w:rPr>
              <w:t>≥4000w（环境温度-12℃）</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能效等级：</w:t>
            </w:r>
            <w:r>
              <w:rPr>
                <w:rFonts w:ascii="仿宋_GB2312" w:hAnsi="仿宋_GB2312" w:cs="仿宋_GB2312" w:eastAsia="仿宋_GB2312"/>
                <w:sz w:val="21"/>
              </w:rPr>
              <w:t>1级（应提供第三方检测机构出具的能效检测报告）</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强制认证：标的物应具有《中国国家强制产品认证证书》（</w:t>
            </w:r>
            <w:r>
              <w:rPr>
                <w:rFonts w:ascii="仿宋_GB2312" w:hAnsi="仿宋_GB2312" w:cs="仿宋_GB2312" w:eastAsia="仿宋_GB2312"/>
                <w:sz w:val="21"/>
              </w:rPr>
              <w:t>3C强制认证）</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冷热需求：冷热双制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制热季节性能系数（</w:t>
            </w:r>
            <w:r>
              <w:rPr>
                <w:rFonts w:ascii="仿宋_GB2312" w:hAnsi="仿宋_GB2312" w:cs="仿宋_GB2312" w:eastAsia="仿宋_GB2312"/>
                <w:sz w:val="21"/>
              </w:rPr>
              <w:t>HSPF）:≥3.4</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噪声：室内机</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db，室外机≤5</w:t>
            </w:r>
            <w:r>
              <w:rPr>
                <w:rFonts w:ascii="仿宋_GB2312" w:hAnsi="仿宋_GB2312" w:cs="仿宋_GB2312" w:eastAsia="仿宋_GB2312"/>
                <w:sz w:val="21"/>
              </w:rPr>
              <w:t>5</w:t>
            </w:r>
            <w:r>
              <w:rPr>
                <w:rFonts w:ascii="仿宋_GB2312" w:hAnsi="仿宋_GB2312" w:cs="仿宋_GB2312" w:eastAsia="仿宋_GB2312"/>
                <w:sz w:val="21"/>
              </w:rPr>
              <w:t>db</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变频</w:t>
            </w:r>
            <w:r>
              <w:rPr>
                <w:rFonts w:ascii="仿宋_GB2312" w:hAnsi="仿宋_GB2312" w:cs="仿宋_GB2312" w:eastAsia="仿宋_GB2312"/>
                <w:sz w:val="21"/>
              </w:rPr>
              <w:t>/定频：变频</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循环风量：≥640m³/h</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制热性能系数（cop):①-12℃时≥2.4；②-20℃时≥2.0</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设备须具备智能化霜功能</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设备运行范围宽广，可在-25℃-43℃的温度条件下正常工作</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供应商所投产品不允许带电辅热装置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采购合同签订后60日内供货安装完成。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汉中市南郑区圣水镇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供货安装进度达到50%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供货安装进度达到80%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供货安装完成，通过采购人验收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保修范围：整机质保 保修期：≥6年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产品质量合格，且符合相应产品的国家及行业标准；所有货物及辅材必须是未使用过的新产品，质量优良、渠道正当，配置合理，符合国家及行业有关质量要求，如有违反，供应商应承担一切责任。 （2）质保期要求：整机质保≥6年。②供应商应在响应文件中列明质保的范围及质保年限。质保期出现的质量问题由成交供应商负责解决并承担所有费用；质保期后如需更换零部件，供应商应以优惠价提供。 （3）安装调试 ①安装 a.供应商的响应报价中应包含产品安装、辅材、配套管道、开孔等全部费用，不得向用户及采购人额外收取任何费用。 b.安装过程中，供应商应指派专业技术人员提供安装服务（特种作业人员应持证上岗），应严格按照产品说明书及安装规范进行操作，确保产品安装到位。安装操作规范合理，符合国家、行业相关标准。 c.安装完成后应对产品进行全面检查，确保所有部件安装到位、功能正常；安装过程中，若发现任何产品质量问题，供应商应无理由更换，直至问题解决。 ②调试 a.供应商应提供详尽的产品说明书，并指导用户使用。 b.调试过程中，出现异常情况，供应商应提供技术支持，协助用户解决问题。 （3）售后服务 ①供应商必须为用户提供7*24小时电话服务和技术支持。 ②在接到用户故障通知后，3小时内响应，6小时内到达现场解决故障，供应商未能在规定时间内到达现场的，采购人有权要求供应商给用户合理的经济赔偿。由于产品本身缺陷发生故障或损坏而造成的损失，全部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应按照《关于推动解决政府采购异常低价问题的通知》（财库〔2026〕2号）有关规定，加强异常低价审查，出现文件规定的异常低价情形的，评审委员会应当启动异常低价投标（响应）审查程序，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 产品来源渠道保障 本国产品说明 中小企业声明函 商务应答表 应急处理方案 中国境内生产的组件成本核算基本规则 投标人应提交的相关资格证明材料 安全实施方案 产品节能、环保认证 产品技术参数表 质量保证措施 其他资料 投标函 残疾人福利性单位声明函 标的清单 关于符合本国产品标准的声明函 投标文件封面 供应商类似项目业绩一览表 项目实施方案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有一项负偏离或无证明材料，视该供应商为无效响应。（特别说明：证明材料包含但不限于产品彩页、铭牌、产品说明书、产品检测报告等形式，一项参数提供一种证明材料即可，不要求上述所有证明材料均需要证明标的物标注“★”的全部参数）</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售后服务方案 产品来源渠道保障 本国产品说明 中小企业声明函 商务应答表 应急处理方案 中国境内生产的组件成本核算基本规则 投标人应提交的相关资格证明材料 安全实施方案 产品节能、环保认证 产品技术参数表 质量保证措施 其他资料 投标函 残疾人福利性单位声明函 标的清单 关于符合本国产品标准的声明函 投标文件封面 供应商类似项目业绩一览表 项目实施方案 汉中市政府采购供应商资格承诺函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 产品来源渠道保障 本国产品说明 中小企业声明函 商务应答表 应急处理方案 中国境内生产的组件成本核算基本规则 投标人应提交的相关资格证明材料 安全实施方案 产品节能、环保认证 产品技术参数表 质量保证措施 其他资料 投标函 残疾人福利性单位声明函 标的清单 关于符合本国产品标准的声明函 投标文件封面 供应商类似项目业绩一览表 项目实施方案 汉中市政府采购供应商资格承诺函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供应商需针对本项目编制完整的项目实施方案。内容应包含：①供货组织方案②对接及运输方案③安装调试方案④人员、物力调配方案⑤进度安排及保障措施。 评标委员会根据供应商编制的方案进行综合评分，方案包括以上五项内容得15分，每缺少一项内容扣3分；单项内容存在“缺陷”的，每有一处扣1分，单项最多扣2分。 注：“缺陷”是指：前后内容互相矛盾的情形；存在套用其他项目方案不适用本项目实际情况的情形；方案内容引用国家或行业规范及标准错误；存在项目实施地点或项目名称或实施时间错误；内容简略，仅作概念性阐述，无具体措施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安全实施方案</w:t>
            </w:r>
          </w:p>
        </w:tc>
        <w:tc>
          <w:tcPr>
            <w:tcW w:type="dxa" w:w="2492"/>
          </w:tcPr>
          <w:p>
            <w:pPr>
              <w:pStyle w:val="null3"/>
            </w:pPr>
            <w:r>
              <w:rPr>
                <w:rFonts w:ascii="仿宋_GB2312" w:hAnsi="仿宋_GB2312" w:cs="仿宋_GB2312" w:eastAsia="仿宋_GB2312"/>
              </w:rPr>
              <w:t>供应商应针对本项目编制项目安全实施方案，要点应包括：①安全管理体系及安全规章制度建立；②产品运输交付过程中安全保障措施；③产品安装及使用过程中安全保障措施。 评标委员会根据供应商编制的方案进行综合评分，方案包括以上三项内容得9分，每缺少一项内容扣3分；单项内容存在“缺陷”的，每有一处扣1分，单项最多扣2分。 注：“缺陷”是指：前后内容互相矛盾的情形；存在套用其他项目方案不适用本项目实际情况的情形；方案内容引用国家或行业规范及标准错误；存在项目实施地点或项目名称或实施时间错误；内容简略，仅作概念性阐述，无具体措施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安全实施方案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生产供应环节质量保证措施；②产品仓储与运输环节质量保证措施；③产品安装质量保证措施。评标委员会根据供应商编制的措施进行综合评分，方案包括以上三项内容得9分，每缺少一项内容扣3分；单项内容存在“缺陷”的，每有一处扣1分，单项最多扣2分。 注：“缺陷”是指：前后内容互相矛盾的情形；存在套用其他项目方案不适用本项目实际情况的情形；方案内容引用国家或行业规范及标准错误；存在项目实施地点或项目名称或实施时间错误；内容简略，仅作概念性阐述，无具体措施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投标人应针对本项目编制应急处理方案内容应包括①突发或意外事件应急方案；②运输及安装施工应急方案；③紧急供货及调换货方案。 评标委员会根据供应商编制的方案进行综合评分，方案包括以上三项内容得6分，每缺少一项内容扣2分；单项内容存在“缺陷”的，每有一处扣0.5分，单项最多扣1分。 注：“缺陷”是指：前后内容互相矛盾的情形；存在套用其他项目方案不适用本项目实际情况的情形；方案内容引用国家或行业规范及标准错误；存在项目实施地点或项目名称或实施时间错误；内容简略，仅作概念性阐述，无具体措施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应急处理方案</w:t>
            </w:r>
          </w:p>
        </w:tc>
      </w:tr>
      <w:tr>
        <w:tc>
          <w:tcPr>
            <w:tcW w:type="dxa" w:w="831"/>
            <w:vMerge/>
          </w:tcPr>
          <w:p/>
        </w:tc>
        <w:tc>
          <w:tcPr>
            <w:tcW w:type="dxa" w:w="1661"/>
          </w:tcPr>
          <w:p>
            <w:pPr>
              <w:pStyle w:val="null3"/>
            </w:pPr>
            <w:r>
              <w:rPr>
                <w:rFonts w:ascii="仿宋_GB2312" w:hAnsi="仿宋_GB2312" w:cs="仿宋_GB2312" w:eastAsia="仿宋_GB2312"/>
              </w:rPr>
              <w:t>产品来源渠道保障</w:t>
            </w:r>
          </w:p>
        </w:tc>
        <w:tc>
          <w:tcPr>
            <w:tcW w:type="dxa" w:w="2492"/>
          </w:tcPr>
          <w:p>
            <w:pPr>
              <w:pStyle w:val="null3"/>
            </w:pPr>
            <w:r>
              <w:rPr>
                <w:rFonts w:ascii="仿宋_GB2312" w:hAnsi="仿宋_GB2312" w:cs="仿宋_GB2312" w:eastAsia="仿宋_GB2312"/>
              </w:rPr>
              <w:t>投标人提供货物的合法来源渠道证明文件得3分，不提供不得分。 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产品来源渠道保障</w:t>
            </w:r>
          </w:p>
        </w:tc>
      </w:tr>
      <w:tr>
        <w:tc>
          <w:tcPr>
            <w:tcW w:type="dxa" w:w="831"/>
            <w:vMerge/>
          </w:tcPr>
          <w:p/>
        </w:tc>
        <w:tc>
          <w:tcPr>
            <w:tcW w:type="dxa" w:w="1661"/>
          </w:tcPr>
          <w:p>
            <w:pPr>
              <w:pStyle w:val="null3"/>
            </w:pPr>
            <w:r>
              <w:rPr>
                <w:rFonts w:ascii="仿宋_GB2312" w:hAnsi="仿宋_GB2312" w:cs="仿宋_GB2312" w:eastAsia="仿宋_GB2312"/>
              </w:rPr>
              <w:t>产品节能、环保认证</w:t>
            </w:r>
          </w:p>
        </w:tc>
        <w:tc>
          <w:tcPr>
            <w:tcW w:type="dxa" w:w="2492"/>
          </w:tcPr>
          <w:p>
            <w:pPr>
              <w:pStyle w:val="null3"/>
            </w:pPr>
            <w:r>
              <w:rPr>
                <w:rFonts w:ascii="仿宋_GB2312" w:hAnsi="仿宋_GB2312" w:cs="仿宋_GB2312" w:eastAsia="仿宋_GB2312"/>
              </w:rPr>
              <w:t>供应商所投的核心产品具有节能产品认证证书得2.5分，具有环境标志产品认证证书得2.5分，本项满分5分。注:须提供证书证明材料复印件及国家市场监督管理总局全国认证许可信息公共服务平台的证书信息查询结果截屏图片，且证明材料标注的产品型号应与供应商所投产品型号一致，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产品节能、环保认证</w:t>
            </w:r>
          </w:p>
        </w:tc>
      </w:tr>
      <w:tr>
        <w:tc>
          <w:tcPr>
            <w:tcW w:type="dxa" w:w="831"/>
            <w:vMerge/>
          </w:tcP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采购需求表中标注“▲”的为产品的重要技术参数，每有一项重要技术参数未响应或负偏离扣1分，最高扣8分。注：投标人应提供相关“▲”技术指标的证明材料，包括但不限于产品彩页、铭牌、产品说明书、产品检测报告等相关技术资料，予以证明其技术参数的响应性,一项参数提供一种证明材料即可，无佐证材料视为该项参数未响应。</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供应商需针对本项目编制完整的售后服务方案，内容应包含：①售后服务范围及售后服务响应时间；②故障处理及补救措施；③备品备件准备；④售后服务体系建设。 评标委员会根据供应商编制的方案进行综合评分，方案包括以上四项内容得12分，每缺少一项内容扣3分；单项内容存在“缺陷”的，每有一处扣1分，单项最多扣2分。（ 注：“缺陷”是指：前后内容互相矛盾的情形；存在套用其他项目方案不适用本项目实际情况的情形；方案内容引用国家或行业规范及标准错误；存在项目实施地点或项目名称或实施时间错误；内容简略，仅作概念性阐述，无具体措施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供应商自2023年至今具有同类项目供货业绩（以签订合同时间为准），每提供一份合格业绩证明得3分，满分3分。 备注：须提供完整业绩合同或中标（成交通知书）复印件，否则不得分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详见附件：质量保证措施</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详见附件：应急处理方案</w:t>
      </w:r>
    </w:p>
    <w:p>
      <w:pPr>
        <w:pStyle w:val="null3"/>
        <w:ind w:firstLine="960"/>
      </w:pPr>
      <w:r>
        <w:rPr>
          <w:rFonts w:ascii="仿宋_GB2312" w:hAnsi="仿宋_GB2312" w:cs="仿宋_GB2312" w:eastAsia="仿宋_GB2312"/>
        </w:rPr>
        <w:t>详见附件：安全实施方案</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详见附件：产品来源渠道保障</w:t>
      </w:r>
    </w:p>
    <w:p>
      <w:pPr>
        <w:pStyle w:val="null3"/>
        <w:ind w:firstLine="960"/>
      </w:pPr>
      <w:r>
        <w:rPr>
          <w:rFonts w:ascii="仿宋_GB2312" w:hAnsi="仿宋_GB2312" w:cs="仿宋_GB2312" w:eastAsia="仿宋_GB2312"/>
        </w:rPr>
        <w:t>详见附件：产品节能、环保认证</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