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版本号：SXHJZB-2026-11.1B120260622001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中转站环保辅助装置项目(二次)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SXHJZB-2026-11.1B1</w:t>
      </w:r>
      <w:r>
        <w:br/>
      </w:r>
      <w:r>
        <w:br/>
      </w:r>
      <w:r>
        <w:br/>
      </w:r>
    </w:p>
    <w:p>
      <w:pPr>
        <w:pStyle w:val="null3"/>
        <w:jc w:val="center"/>
        <w:outlineLvl w:val="2"/>
      </w:pPr>
      <w:r>
        <w:rPr>
          <w:rFonts w:ascii="仿宋_GB2312" w:hAnsi="仿宋_GB2312" w:cs="仿宋_GB2312" w:eastAsia="仿宋_GB2312"/>
          <w:sz w:val="28"/>
          <w:b/>
        </w:rPr>
        <w:t>西安市三民村垃圾处理中转站</w:t>
      </w:r>
    </w:p>
    <w:p>
      <w:pPr>
        <w:pStyle w:val="null3"/>
        <w:jc w:val="center"/>
        <w:outlineLvl w:val="2"/>
      </w:pPr>
      <w:r>
        <w:rPr>
          <w:rFonts w:ascii="仿宋_GB2312" w:hAnsi="仿宋_GB2312" w:cs="仿宋_GB2312" w:eastAsia="仿宋_GB2312"/>
          <w:sz w:val="28"/>
          <w:b/>
        </w:rPr>
        <w:t>陕西华璟项目管理有限公司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陕西华璟项目管理有限公司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西安市三民村垃圾处理中转站</w:t>
      </w:r>
      <w:r>
        <w:rPr>
          <w:rFonts w:ascii="仿宋_GB2312" w:hAnsi="仿宋_GB2312" w:cs="仿宋_GB2312" w:eastAsia="仿宋_GB2312"/>
        </w:rPr>
        <w:t>委托，拟对</w:t>
      </w:r>
      <w:r>
        <w:rPr>
          <w:rFonts w:ascii="仿宋_GB2312" w:hAnsi="仿宋_GB2312" w:cs="仿宋_GB2312" w:eastAsia="仿宋_GB2312"/>
        </w:rPr>
        <w:t>中转站环保辅助装置项目(二次)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SXHJZB-2026-11.1B1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中转站环保辅助装置项目(二次)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中转站环保辅助装置项目（二次）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采购包1（中转站环保辅助装置项目）：属于专门面向中小企业采购。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pPr>
        <w:pStyle w:val="null3"/>
      </w:pPr>
      <w:r>
        <w:rPr>
          <w:rFonts w:ascii="仿宋_GB2312" w:hAnsi="仿宋_GB2312" w:cs="仿宋_GB2312" w:eastAsia="仿宋_GB2312"/>
        </w:rPr>
        <w:t>3、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p>
      <w:pPr>
        <w:pStyle w:val="null3"/>
      </w:pPr>
      <w:r>
        <w:rPr>
          <w:rFonts w:ascii="仿宋_GB2312" w:hAnsi="仿宋_GB2312" w:cs="仿宋_GB2312" w:eastAsia="仿宋_GB2312"/>
        </w:rPr>
        <w:t>4、财务状况报告：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8、本项目不接受联合体响应，不允许分包：供应商提供《非联合体、不分包投标声明》，视为独立响应，不分包；供应商应提供承诺书，格式及内容具体参见“响应文件格式”。</w:t>
      </w:r>
    </w:p>
    <w:p>
      <w:pPr>
        <w:pStyle w:val="null3"/>
      </w:pPr>
      <w:r>
        <w:rPr>
          <w:rFonts w:ascii="仿宋_GB2312" w:hAnsi="仿宋_GB2312" w:cs="仿宋_GB2312" w:eastAsia="仿宋_GB2312"/>
        </w:rPr>
        <w:t>9、声明：供应商提供具有履行合同所必需的设备和专业技术能力的声明；供应商应提供承诺书，格式及内容具体参见“响应文件格式”。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西安市三民村垃圾处理中转站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西安市莲湖区大兴西路45号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17766668864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陕西省西安市高新区沣惠南路与科技二路交叉路口西南侧泰华金贸国际6号楼902室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15309262087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代理服务费收费标准：参照国家计委颁发的《招标代理服务收费管理暂行办法》(计价格[2002]1980号)规定的招标代理服务收费标准计算收取，不足5000元按5000元收取。 户名：陕西华璟项目管理有限公司 开户行：中国工商银行股份有限公司西安高新技术开发区支行 账号：3700024609200529721 汇款备注：项目名称+代理服务费（可简写）请中标供应商按照要求将服务费汇入以上指定账户，如因自身原因发生错误，产生的不利后果均由供应商自行承担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西安市三民村垃圾处理中转站</w:t>
      </w:r>
      <w:r>
        <w:rPr>
          <w:rFonts w:ascii="仿宋_GB2312" w:hAnsi="仿宋_GB2312" w:cs="仿宋_GB2312" w:eastAsia="仿宋_GB2312"/>
        </w:rPr>
        <w:t>和</w:t>
      </w:r>
      <w:r>
        <w:rPr>
          <w:rFonts w:ascii="仿宋_GB2312" w:hAnsi="仿宋_GB2312" w:cs="仿宋_GB2312" w:eastAsia="仿宋_GB2312"/>
        </w:rPr>
        <w:t>陕西华璟项目管理有限公司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西安市三民村垃圾处理中转站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陕西华璟项目管理有限公司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西安市三民村垃圾处理中转站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陕西华璟项目管理有限公司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达到竞争性谈判文件及国家规定的“合格”标准。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联系人：陈普</w:t>
      </w:r>
    </w:p>
    <w:p>
      <w:pPr>
        <w:pStyle w:val="null3"/>
      </w:pPr>
      <w:r>
        <w:rPr>
          <w:rFonts w:ascii="仿宋_GB2312" w:hAnsi="仿宋_GB2312" w:cs="仿宋_GB2312" w:eastAsia="仿宋_GB2312"/>
        </w:rPr>
        <w:t>联系电话：15309262087</w:t>
      </w:r>
    </w:p>
    <w:p>
      <w:pPr>
        <w:pStyle w:val="null3"/>
      </w:pPr>
      <w:r>
        <w:rPr>
          <w:rFonts w:ascii="仿宋_GB2312" w:hAnsi="仿宋_GB2312" w:cs="仿宋_GB2312" w:eastAsia="仿宋_GB2312"/>
        </w:rPr>
        <w:t>地址：陕西省西安市高新区沣惠南路与科技二路交叉路口西南侧泰华金贸国际6号楼902室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中转站环保辅助装置项目（二次）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电动卷帘门和轻钢防护棚及防护网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标的名称：电动卷帘门和轻钢防护棚及防护网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80"/>
              <w:jc w:val="both"/>
            </w:pPr>
            <w:r>
              <w:rPr>
                <w:rFonts w:ascii="仿宋_GB2312" w:hAnsi="仿宋_GB2312" w:cs="仿宋_GB2312" w:eastAsia="仿宋_GB2312"/>
                <w:sz w:val="20"/>
              </w:rPr>
              <w:t>1.我站车间三楼卸料大厅长久以来处于开放状态，加之我站除臭及降尘系统的老化损坏，导致卸料过程中产生的臭气无法集中收集处理，臭气四溢，随着近年来城市生活水平的提高及周边居民环保意识的增强，对我站的绿色运行提出了更高的要求，为改善卸料大厅作业环境，有效处理臭气，降低周边环境污染风险。</w:t>
            </w:r>
          </w:p>
          <w:p>
            <w:pPr>
              <w:pStyle w:val="null3"/>
              <w:ind w:firstLine="480"/>
              <w:jc w:val="both"/>
            </w:pPr>
            <w:r>
              <w:rPr>
                <w:rFonts w:ascii="仿宋_GB2312" w:hAnsi="仿宋_GB2312" w:cs="仿宋_GB2312" w:eastAsia="仿宋_GB2312"/>
                <w:sz w:val="20"/>
              </w:rPr>
              <w:t>2.经初步研究，从目前的运行情况来看，发现存在以下两个突出问题，一是调节池、气浮机、沉淀池及部分配套设备处于露天运行状态，导致运行过程中产生的臭气无法收集处理，臭气四溢，环保风险较大;二是渗滤液处理站在设计阶段未考虑全场硬性隔离措施，目前还是利用施工阶段围挡进行了半隔离，安全生产风险较大。</w:t>
            </w:r>
          </w:p>
          <w:p>
            <w:pPr>
              <w:pStyle w:val="null3"/>
              <w:ind w:firstLine="480"/>
              <w:jc w:val="both"/>
            </w:pPr>
            <w:r>
              <w:rPr>
                <w:rFonts w:ascii="仿宋_GB2312" w:hAnsi="仿宋_GB2312" w:cs="仿宋_GB2312" w:eastAsia="仿宋_GB2312"/>
                <w:sz w:val="20"/>
              </w:rPr>
              <w:t>3.供应商根据产品特性，自行选择运输及包装方式，承担一切费用，包括从生产厂到采购人指定交货地点所需的装卸、运输（含保险费）、安装和调试等。</w:t>
            </w:r>
          </w:p>
          <w:p>
            <w:pPr>
              <w:pStyle w:val="null3"/>
              <w:ind w:firstLine="480"/>
              <w:jc w:val="both"/>
            </w:pPr>
            <w:r>
              <w:rPr>
                <w:rFonts w:ascii="仿宋_GB2312" w:hAnsi="仿宋_GB2312" w:cs="仿宋_GB2312" w:eastAsia="仿宋_GB2312"/>
                <w:sz w:val="20"/>
              </w:rPr>
              <w:t>4.本项目总预算为400000.00元，其中：自动卷帘门部分预算为62950.00元，部分钢构棚及全场隔离护栏部分预算为337050.00元。投标人所投总价不得高于项目总预算，各分项投标报价均不得超过对应分项预算价。</w:t>
            </w:r>
          </w:p>
          <w:tbl>
            <w:tblPr>
              <w:tblInd w:type="dxa" w:w="240"/>
              <w:tblBorders>
                <w:top w:val="none" w:color="000000" w:sz="4"/>
                <w:left w:val="none" w:color="000000" w:sz="4"/>
                <w:bottom w:val="none" w:color="000000" w:sz="4"/>
                <w:right w:val="none" w:color="000000" w:sz="4"/>
                <w:insideH w:val="none"/>
                <w:insideV w:val="none"/>
              </w:tblBorders>
            </w:tblPr>
            <w:tblGrid>
              <w:gridCol w:w="198"/>
              <w:gridCol w:w="380"/>
              <w:gridCol w:w="1185"/>
              <w:gridCol w:w="182"/>
              <w:gridCol w:w="289"/>
              <w:gridCol w:w="319"/>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材料名称</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自动卷帘门</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卷帘式堆积门</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1、门两侧采用100*100*3热镀锌方钢管、滑道采用200*200铝滑道，门外侧采用80*80*2.5热镀锌方钢管，其余均为40*60*2热镀锌钢管。</w:t>
                  </w:r>
                </w:p>
                <w:p>
                  <w:pPr>
                    <w:pStyle w:val="null3"/>
                    <w:jc w:val="left"/>
                  </w:pPr>
                  <w:r>
                    <w:rPr>
                      <w:rFonts w:ascii="仿宋_GB2312" w:hAnsi="仿宋_GB2312" w:cs="仿宋_GB2312" w:eastAsia="仿宋_GB2312"/>
                      <w:sz w:val="20"/>
                    </w:rPr>
                    <w:t>2、卷帘门采用聚酯纤维高强耐磨基布0.8mm-1.5mm厚。</w:t>
                  </w:r>
                </w:p>
                <w:p>
                  <w:pPr>
                    <w:pStyle w:val="null3"/>
                    <w:jc w:val="left"/>
                  </w:pPr>
                  <w:r>
                    <w:rPr>
                      <w:rFonts w:ascii="仿宋_GB2312" w:hAnsi="仿宋_GB2312" w:cs="仿宋_GB2312" w:eastAsia="仿宋_GB2312"/>
                      <w:sz w:val="20"/>
                    </w:rPr>
                    <w:t>3、门洞尺寸4.44*5.6*2樘。</w:t>
                  </w:r>
                </w:p>
                <w:p>
                  <w:pPr>
                    <w:pStyle w:val="null3"/>
                    <w:jc w:val="left"/>
                  </w:pPr>
                  <w:r>
                    <w:rPr>
                      <w:rFonts w:ascii="仿宋_GB2312" w:hAnsi="仿宋_GB2312" w:cs="仿宋_GB2312" w:eastAsia="仿宋_GB2312"/>
                      <w:sz w:val="20"/>
                    </w:rPr>
                    <w:t>4、抗风压等级：≥6级（P3≥1000Pa）</w:t>
                  </w:r>
                </w:p>
                <w:p>
                  <w:pPr>
                    <w:pStyle w:val="null3"/>
                    <w:jc w:val="left"/>
                  </w:pPr>
                  <w:r>
                    <w:rPr>
                      <w:rFonts w:ascii="仿宋_GB2312" w:hAnsi="仿宋_GB2312" w:cs="仿宋_GB2312" w:eastAsia="仿宋_GB2312"/>
                      <w:sz w:val="20"/>
                    </w:rPr>
                    <w:t>5、启闭速度：≥0.6m/s</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49.73</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彩钢工业门</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1、规格尺寸：0.9*2*4樘；</w:t>
                  </w:r>
                </w:p>
                <w:p>
                  <w:pPr>
                    <w:pStyle w:val="null3"/>
                    <w:jc w:val="both"/>
                  </w:pPr>
                  <w:r>
                    <w:rPr>
                      <w:rFonts w:ascii="仿宋_GB2312" w:hAnsi="仿宋_GB2312" w:cs="仿宋_GB2312" w:eastAsia="仿宋_GB2312"/>
                      <w:sz w:val="20"/>
                    </w:rPr>
                    <w:t>2、门扇面板材质：热镀锌彩色涂层钢板(彩钢板)；</w:t>
                  </w:r>
                </w:p>
                <w:p>
                  <w:pPr>
                    <w:pStyle w:val="null3"/>
                    <w:jc w:val="both"/>
                  </w:pPr>
                  <w:r>
                    <w:rPr>
                      <w:rFonts w:ascii="仿宋_GB2312" w:hAnsi="仿宋_GB2312" w:cs="仿宋_GB2312" w:eastAsia="仿宋_GB2312"/>
                      <w:sz w:val="20"/>
                    </w:rPr>
                    <w:t>3、门框材质：热镀锌彩钢板；</w:t>
                  </w:r>
                </w:p>
                <w:p>
                  <w:pPr>
                    <w:pStyle w:val="null3"/>
                    <w:jc w:val="both"/>
                  </w:pPr>
                  <w:r>
                    <w:rPr>
                      <w:rFonts w:ascii="仿宋_GB2312" w:hAnsi="仿宋_GB2312" w:cs="仿宋_GB2312" w:eastAsia="仿宋_GB2312"/>
                      <w:sz w:val="20"/>
                    </w:rPr>
                    <w:t>4、板材厚度：1.5-2.0mm；</w:t>
                  </w:r>
                </w:p>
                <w:p>
                  <w:pPr>
                    <w:pStyle w:val="null3"/>
                    <w:jc w:val="both"/>
                  </w:pPr>
                  <w:r>
                    <w:rPr>
                      <w:rFonts w:ascii="仿宋_GB2312" w:hAnsi="仿宋_GB2312" w:cs="仿宋_GB2312" w:eastAsia="仿宋_GB2312"/>
                      <w:sz w:val="20"/>
                    </w:rPr>
                    <w:t>5、内部骨架：镀锌方管；</w:t>
                  </w:r>
                </w:p>
                <w:p>
                  <w:pPr>
                    <w:pStyle w:val="null3"/>
                    <w:jc w:val="both"/>
                  </w:pPr>
                  <w:r>
                    <w:rPr>
                      <w:rFonts w:ascii="仿宋_GB2312" w:hAnsi="仿宋_GB2312" w:cs="仿宋_GB2312" w:eastAsia="仿宋_GB2312"/>
                      <w:sz w:val="20"/>
                    </w:rPr>
                    <w:t>6、门芯填充：聚苯乙烯泡沫。</w:t>
                  </w:r>
                </w:p>
                <w:p>
                  <w:pPr>
                    <w:pStyle w:val="null3"/>
                    <w:jc w:val="both"/>
                  </w:pPr>
                  <w:r>
                    <w:rPr>
                      <w:rFonts w:ascii="仿宋_GB2312" w:hAnsi="仿宋_GB2312" w:cs="仿宋_GB2312" w:eastAsia="仿宋_GB2312"/>
                      <w:sz w:val="20"/>
                    </w:rPr>
                    <w:t>7、抗风压等级：≥6级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双面喷漆</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铝塑板包封</w:t>
                  </w:r>
                  <w:r>
                    <w:rPr>
                      <w:rFonts w:ascii="仿宋_GB2312" w:hAnsi="仿宋_GB2312" w:cs="仿宋_GB2312" w:eastAsia="仿宋_GB2312"/>
                      <w:sz w:val="20"/>
                    </w:rPr>
                    <w:t>(双面)</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1、(1.458*4.44-0.9*2)*4；</w:t>
                  </w:r>
                </w:p>
                <w:p>
                  <w:pPr>
                    <w:pStyle w:val="null3"/>
                    <w:jc w:val="left"/>
                  </w:pPr>
                  <w:r>
                    <w:rPr>
                      <w:rFonts w:ascii="仿宋_GB2312" w:hAnsi="仿宋_GB2312" w:cs="仿宋_GB2312" w:eastAsia="仿宋_GB2312"/>
                      <w:sz w:val="20"/>
                    </w:rPr>
                    <w:t>2、铝皮厚度：≥0.2mm；</w:t>
                  </w:r>
                </w:p>
                <w:p>
                  <w:pPr>
                    <w:pStyle w:val="null3"/>
                    <w:jc w:val="left"/>
                  </w:pPr>
                  <w:r>
                    <w:rPr>
                      <w:rFonts w:ascii="仿宋_GB2312" w:hAnsi="仿宋_GB2312" w:cs="仿宋_GB2312" w:eastAsia="仿宋_GB2312"/>
                      <w:sz w:val="20"/>
                    </w:rPr>
                    <w:t>3、GB/T17748-2016;</w:t>
                  </w:r>
                </w:p>
                <w:p>
                  <w:pPr>
                    <w:pStyle w:val="null3"/>
                    <w:jc w:val="left"/>
                  </w:pPr>
                  <w:r>
                    <w:rPr>
                      <w:rFonts w:ascii="仿宋_GB2312" w:hAnsi="仿宋_GB2312" w:cs="仿宋_GB2312" w:eastAsia="仿宋_GB2312"/>
                      <w:sz w:val="20"/>
                    </w:rPr>
                    <w:t>4、弯曲强度：≥100MPa;</w:t>
                  </w:r>
                </w:p>
                <w:p>
                  <w:pPr>
                    <w:pStyle w:val="null3"/>
                    <w:jc w:val="left"/>
                  </w:pPr>
                  <w:r>
                    <w:rPr>
                      <w:rFonts w:ascii="仿宋_GB2312" w:hAnsi="仿宋_GB2312" w:cs="仿宋_GB2312" w:eastAsia="仿宋_GB2312"/>
                      <w:sz w:val="20"/>
                    </w:rPr>
                    <w:t>5、耐冲击、无开裂。</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18.69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双面喷漆</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驱动机构</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1、电机，功率：0.75KW/1.5KW</w:t>
                  </w:r>
                </w:p>
                <w:p>
                  <w:pPr>
                    <w:pStyle w:val="null3"/>
                    <w:jc w:val="left"/>
                  </w:pPr>
                  <w:r>
                    <w:rPr>
                      <w:rFonts w:ascii="仿宋_GB2312" w:hAnsi="仿宋_GB2312" w:cs="仿宋_GB2312" w:eastAsia="仿宋_GB2312"/>
                      <w:sz w:val="20"/>
                    </w:rPr>
                    <w:t>2、电源：220V/380V±10%</w:t>
                  </w:r>
                </w:p>
                <w:p>
                  <w:pPr>
                    <w:pStyle w:val="null3"/>
                    <w:jc w:val="left"/>
                  </w:pPr>
                  <w:r>
                    <w:rPr>
                      <w:rFonts w:ascii="仿宋_GB2312" w:hAnsi="仿宋_GB2312" w:cs="仿宋_GB2312" w:eastAsia="仿宋_GB2312"/>
                      <w:sz w:val="20"/>
                    </w:rPr>
                    <w:t>3、频率：50Hz</w:t>
                  </w:r>
                  <w:r>
                    <w:br/>
                  </w:r>
                  <w:r>
                    <w:rPr>
                      <w:rFonts w:ascii="仿宋_GB2312" w:hAnsi="仿宋_GB2312" w:cs="仿宋_GB2312" w:eastAsia="仿宋_GB2312"/>
                      <w:sz w:val="20"/>
                    </w:rPr>
                    <w:t>4、转速：1400r/min</w:t>
                  </w:r>
                </w:p>
                <w:p>
                  <w:pPr>
                    <w:pStyle w:val="null3"/>
                    <w:jc w:val="left"/>
                  </w:pPr>
                  <w:r>
                    <w:rPr>
                      <w:rFonts w:ascii="仿宋_GB2312" w:hAnsi="仿宋_GB2312" w:cs="仿宋_GB2312" w:eastAsia="仿宋_GB2312"/>
                      <w:sz w:val="20"/>
                    </w:rPr>
                    <w:t>5、防护等级：IP65</w:t>
                  </w:r>
                </w:p>
                <w:p>
                  <w:pPr>
                    <w:pStyle w:val="null3"/>
                    <w:jc w:val="left"/>
                  </w:pPr>
                  <w:r>
                    <w:rPr>
                      <w:rFonts w:ascii="仿宋_GB2312" w:hAnsi="仿宋_GB2312" w:cs="仿宋_GB2312" w:eastAsia="仿宋_GB2312"/>
                      <w:sz w:val="20"/>
                    </w:rPr>
                    <w:t>6、绝缘等级：F</w:t>
                  </w:r>
                </w:p>
                <w:p>
                  <w:pPr>
                    <w:pStyle w:val="null3"/>
                    <w:jc w:val="left"/>
                  </w:pPr>
                  <w:r>
                    <w:rPr>
                      <w:rFonts w:ascii="仿宋_GB2312" w:hAnsi="仿宋_GB2312" w:cs="仿宋_GB2312" w:eastAsia="仿宋_GB2312"/>
                      <w:sz w:val="20"/>
                    </w:rPr>
                    <w:t>（带有刹车功能）</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红外线感应装置</w:t>
                  </w:r>
                </w:p>
                <w:p>
                  <w:pPr>
                    <w:pStyle w:val="null3"/>
                    <w:jc w:val="center"/>
                  </w:pPr>
                  <w:r>
                    <w:rPr>
                      <w:rFonts w:ascii="仿宋_GB2312" w:hAnsi="仿宋_GB2312" w:cs="仿宋_GB2312" w:eastAsia="仿宋_GB2312"/>
                      <w:sz w:val="20"/>
                    </w:rPr>
                    <w:t>（国产）</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1、检测距离：0.1m-6m</w:t>
                  </w:r>
                </w:p>
                <w:p>
                  <w:pPr>
                    <w:pStyle w:val="null3"/>
                    <w:jc w:val="left"/>
                  </w:pPr>
                  <w:r>
                    <w:rPr>
                      <w:rFonts w:ascii="仿宋_GB2312" w:hAnsi="仿宋_GB2312" w:cs="仿宋_GB2312" w:eastAsia="仿宋_GB2312"/>
                      <w:sz w:val="20"/>
                    </w:rPr>
                    <w:t>2、光源：850nm红外LED不可见光</w:t>
                  </w:r>
                </w:p>
                <w:p>
                  <w:pPr>
                    <w:pStyle w:val="null3"/>
                    <w:jc w:val="left"/>
                  </w:pPr>
                  <w:r>
                    <w:rPr>
                      <w:rFonts w:ascii="仿宋_GB2312" w:hAnsi="仿宋_GB2312" w:cs="仿宋_GB2312" w:eastAsia="仿宋_GB2312"/>
                      <w:sz w:val="20"/>
                    </w:rPr>
                    <w:t>3、供电：AC24-240V/DC24-240V±10%</w:t>
                  </w:r>
                </w:p>
                <w:p>
                  <w:pPr>
                    <w:pStyle w:val="null3"/>
                    <w:jc w:val="left"/>
                  </w:pPr>
                  <w:r>
                    <w:rPr>
                      <w:rFonts w:ascii="仿宋_GB2312" w:hAnsi="仿宋_GB2312" w:cs="仿宋_GB2312" w:eastAsia="仿宋_GB2312"/>
                      <w:sz w:val="20"/>
                    </w:rPr>
                    <w:t>4、防护等级：IP65</w:t>
                  </w:r>
                </w:p>
                <w:p>
                  <w:pPr>
                    <w:pStyle w:val="null3"/>
                    <w:jc w:val="left"/>
                  </w:pPr>
                  <w:r>
                    <w:rPr>
                      <w:rFonts w:ascii="仿宋_GB2312" w:hAnsi="仿宋_GB2312" w:cs="仿宋_GB2312" w:eastAsia="仿宋_GB2312"/>
                      <w:sz w:val="20"/>
                    </w:rPr>
                    <w:t>5、工作温度：-25℃-+55℃</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供配电系统</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1、箱体：冷轧钢板</w:t>
                  </w:r>
                </w:p>
                <w:p>
                  <w:pPr>
                    <w:pStyle w:val="null3"/>
                    <w:jc w:val="left"/>
                  </w:pPr>
                  <w:r>
                    <w:rPr>
                      <w:rFonts w:ascii="仿宋_GB2312" w:hAnsi="仿宋_GB2312" w:cs="仿宋_GB2312" w:eastAsia="仿宋_GB2312"/>
                      <w:sz w:val="20"/>
                    </w:rPr>
                    <w:t>ZA-YRVV3*2.5、ZA-RVV5*0.75</w:t>
                  </w:r>
                </w:p>
                <w:p>
                  <w:pPr>
                    <w:pStyle w:val="null3"/>
                    <w:jc w:val="left"/>
                  </w:pPr>
                  <w:r>
                    <w:rPr>
                      <w:rFonts w:ascii="仿宋_GB2312" w:hAnsi="仿宋_GB2312" w:cs="仿宋_GB2312" w:eastAsia="仿宋_GB2312"/>
                      <w:sz w:val="20"/>
                    </w:rPr>
                    <w:t>2、输入电源功率：单相AC200-240V</w:t>
                  </w:r>
                </w:p>
                <w:p>
                  <w:pPr>
                    <w:pStyle w:val="null3"/>
                    <w:jc w:val="left"/>
                  </w:pPr>
                  <w:r>
                    <w:rPr>
                      <w:rFonts w:ascii="仿宋_GB2312" w:hAnsi="仿宋_GB2312" w:cs="仿宋_GB2312" w:eastAsia="仿宋_GB2312"/>
                      <w:sz w:val="20"/>
                    </w:rPr>
                    <w:t>3、输入电源频率：50/60Hz</w:t>
                  </w:r>
                </w:p>
                <w:p>
                  <w:pPr>
                    <w:pStyle w:val="null3"/>
                    <w:jc w:val="left"/>
                  </w:pPr>
                  <w:r>
                    <w:rPr>
                      <w:rFonts w:ascii="仿宋_GB2312" w:hAnsi="仿宋_GB2312" w:cs="仿宋_GB2312" w:eastAsia="仿宋_GB2312"/>
                      <w:sz w:val="20"/>
                    </w:rPr>
                    <w:t>4、最大输出功率：750-3700w</w:t>
                  </w:r>
                </w:p>
                <w:p>
                  <w:pPr>
                    <w:pStyle w:val="null3"/>
                    <w:jc w:val="left"/>
                  </w:pPr>
                  <w:r>
                    <w:rPr>
                      <w:rFonts w:ascii="仿宋_GB2312" w:hAnsi="仿宋_GB2312" w:cs="仿宋_GB2312" w:eastAsia="仿宋_GB2312"/>
                      <w:sz w:val="20"/>
                    </w:rPr>
                    <w:t>5、对外部设备供电能力：24VDC0.8A</w:t>
                  </w:r>
                </w:p>
                <w:p>
                  <w:pPr>
                    <w:pStyle w:val="null3"/>
                    <w:jc w:val="left"/>
                  </w:pPr>
                  <w:r>
                    <w:rPr>
                      <w:rFonts w:ascii="仿宋_GB2312" w:hAnsi="仿宋_GB2312" w:cs="仿宋_GB2312" w:eastAsia="仿宋_GB2312"/>
                      <w:sz w:val="20"/>
                    </w:rPr>
                    <w:t>6、工作温度：-20℃~+50℃</w:t>
                  </w:r>
                </w:p>
                <w:p>
                  <w:pPr>
                    <w:pStyle w:val="null3"/>
                    <w:jc w:val="left"/>
                  </w:pPr>
                  <w:r>
                    <w:rPr>
                      <w:rFonts w:ascii="仿宋_GB2312" w:hAnsi="仿宋_GB2312" w:cs="仿宋_GB2312" w:eastAsia="仿宋_GB2312"/>
                      <w:sz w:val="20"/>
                    </w:rPr>
                    <w:t>7、存储温度：-25℃~+55℃</w:t>
                  </w:r>
                </w:p>
                <w:p>
                  <w:pPr>
                    <w:pStyle w:val="null3"/>
                    <w:jc w:val="left"/>
                  </w:pPr>
                  <w:r>
                    <w:rPr>
                      <w:rFonts w:ascii="仿宋_GB2312" w:hAnsi="仿宋_GB2312" w:cs="仿宋_GB2312" w:eastAsia="仿宋_GB2312"/>
                      <w:sz w:val="20"/>
                    </w:rPr>
                    <w:t>8、环境湿度：30%-85%，无凝露</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控制箱，电缆、电线、线槽等</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二、部分钢构棚及全场隔离护栏</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轻钢防护棚</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钢材品种、规格：</w:t>
                  </w:r>
                </w:p>
                <w:p>
                  <w:pPr>
                    <w:pStyle w:val="null3"/>
                    <w:jc w:val="left"/>
                  </w:pPr>
                  <w:r>
                    <w:rPr>
                      <w:rFonts w:ascii="仿宋_GB2312" w:hAnsi="仿宋_GB2312" w:cs="仿宋_GB2312" w:eastAsia="仿宋_GB2312"/>
                      <w:sz w:val="20"/>
                    </w:rPr>
                    <w:t>镀锌方管、</w:t>
                  </w:r>
                  <w:r>
                    <w:rPr>
                      <w:rFonts w:ascii="仿宋_GB2312" w:hAnsi="仿宋_GB2312" w:cs="仿宋_GB2312" w:eastAsia="仿宋_GB2312"/>
                      <w:sz w:val="20"/>
                    </w:rPr>
                    <w:t>Q235B</w:t>
                  </w:r>
                </w:p>
                <w:p>
                  <w:pPr>
                    <w:pStyle w:val="null3"/>
                    <w:jc w:val="left"/>
                  </w:pPr>
                  <w:r>
                    <w:rPr>
                      <w:rFonts w:ascii="仿宋_GB2312" w:hAnsi="仿宋_GB2312" w:cs="仿宋_GB2312" w:eastAsia="仿宋_GB2312"/>
                      <w:sz w:val="20"/>
                    </w:rPr>
                    <w:t>1、立柱140*140*4.0MM</w:t>
                  </w:r>
                </w:p>
                <w:p>
                  <w:pPr>
                    <w:pStyle w:val="null3"/>
                    <w:jc w:val="left"/>
                  </w:pPr>
                  <w:r>
                    <w:rPr>
                      <w:rFonts w:ascii="仿宋_GB2312" w:hAnsi="仿宋_GB2312" w:cs="仿宋_GB2312" w:eastAsia="仿宋_GB2312"/>
                      <w:sz w:val="20"/>
                    </w:rPr>
                    <w:t>2、大梁140*140*4.0MM</w:t>
                  </w:r>
                </w:p>
                <w:p>
                  <w:pPr>
                    <w:pStyle w:val="null3"/>
                    <w:jc w:val="left"/>
                  </w:pPr>
                  <w:r>
                    <w:rPr>
                      <w:rFonts w:ascii="仿宋_GB2312" w:hAnsi="仿宋_GB2312" w:cs="仿宋_GB2312" w:eastAsia="仿宋_GB2312"/>
                      <w:sz w:val="20"/>
                    </w:rPr>
                    <w:t>3、顶檩条120*50*20*2C型钢</w:t>
                  </w:r>
                </w:p>
                <w:p>
                  <w:pPr>
                    <w:pStyle w:val="null3"/>
                    <w:jc w:val="left"/>
                  </w:pPr>
                  <w:r>
                    <w:rPr>
                      <w:rFonts w:ascii="仿宋_GB2312" w:hAnsi="仿宋_GB2312" w:cs="仿宋_GB2312" w:eastAsia="仿宋_GB2312"/>
                      <w:sz w:val="20"/>
                    </w:rPr>
                    <w:t>屋面及墙体采用：彩钢夹芯板，基板</w:t>
                  </w:r>
                  <w:r>
                    <w:rPr>
                      <w:rFonts w:ascii="仿宋_GB2312" w:hAnsi="仿宋_GB2312" w:cs="仿宋_GB2312" w:eastAsia="仿宋_GB2312"/>
                      <w:sz w:val="20"/>
                    </w:rPr>
                    <w:t>0.5MM，中间为5CM泡沫夹芯，两侧基板0.4MM。</w:t>
                  </w:r>
                </w:p>
                <w:p>
                  <w:pPr>
                    <w:pStyle w:val="null3"/>
                    <w:jc w:val="left"/>
                  </w:pPr>
                  <w:r>
                    <w:rPr>
                      <w:rFonts w:ascii="仿宋_GB2312" w:hAnsi="仿宋_GB2312" w:cs="仿宋_GB2312" w:eastAsia="仿宋_GB2312"/>
                      <w:sz w:val="20"/>
                    </w:rPr>
                    <w:t>拉结水平杆采用</w:t>
                  </w:r>
                  <w:r>
                    <w:rPr>
                      <w:rFonts w:ascii="仿宋_GB2312" w:hAnsi="仿宋_GB2312" w:cs="仿宋_GB2312" w:eastAsia="仿宋_GB2312"/>
                      <w:sz w:val="20"/>
                    </w:rPr>
                    <w:t>60*4方管</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r>
                    <w:rPr>
                      <w:rFonts w:ascii="仿宋_GB2312" w:hAnsi="仿宋_GB2312" w:cs="仿宋_GB2312" w:eastAsia="仿宋_GB2312"/>
                      <w:sz w:val="20"/>
                    </w:rPr>
                    <w:t>6.5米，四周封闭</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防护网</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2.5米凹槽框柱中3米</w:t>
                  </w:r>
                </w:p>
                <w:p>
                  <w:pPr>
                    <w:pStyle w:val="null3"/>
                    <w:jc w:val="left"/>
                  </w:pPr>
                  <w:r>
                    <w:rPr>
                      <w:rFonts w:ascii="仿宋_GB2312" w:hAnsi="仿宋_GB2312" w:cs="仿宋_GB2312" w:eastAsia="仿宋_GB2312"/>
                      <w:sz w:val="20"/>
                    </w:rPr>
                    <w:t>镀锌管喷塑墨绿色</w:t>
                  </w:r>
                </w:p>
                <w:p>
                  <w:pPr>
                    <w:pStyle w:val="null3"/>
                    <w:jc w:val="left"/>
                  </w:pPr>
                  <w:r>
                    <w:rPr>
                      <w:rFonts w:ascii="仿宋_GB2312" w:hAnsi="仿宋_GB2312" w:cs="仿宋_GB2312" w:eastAsia="仿宋_GB2312"/>
                      <w:sz w:val="20"/>
                    </w:rPr>
                    <w:t>1、立柱:75圆管-2.5mm厚</w:t>
                  </w:r>
                </w:p>
                <w:p>
                  <w:pPr>
                    <w:pStyle w:val="null3"/>
                    <w:jc w:val="left"/>
                  </w:pPr>
                  <w:r>
                    <w:rPr>
                      <w:rFonts w:ascii="仿宋_GB2312" w:hAnsi="仿宋_GB2312" w:cs="仿宋_GB2312" w:eastAsia="仿宋_GB2312"/>
                      <w:sz w:val="20"/>
                    </w:rPr>
                    <w:t>2、边框：4*6-2mm/</w:t>
                  </w:r>
                </w:p>
                <w:p>
                  <w:pPr>
                    <w:pStyle w:val="null3"/>
                    <w:jc w:val="left"/>
                  </w:pPr>
                  <w:r>
                    <w:rPr>
                      <w:rFonts w:ascii="仿宋_GB2312" w:hAnsi="仿宋_GB2312" w:cs="仿宋_GB2312" w:eastAsia="仿宋_GB2312"/>
                      <w:sz w:val="20"/>
                    </w:rPr>
                    <w:t>3、网丝：4mm</w:t>
                  </w:r>
                </w:p>
                <w:p>
                  <w:pPr>
                    <w:pStyle w:val="null3"/>
                    <w:jc w:val="left"/>
                  </w:pPr>
                  <w:r>
                    <w:rPr>
                      <w:rFonts w:ascii="仿宋_GB2312" w:hAnsi="仿宋_GB2312" w:cs="仿宋_GB2312" w:eastAsia="仿宋_GB2312"/>
                      <w:sz w:val="20"/>
                    </w:rPr>
                    <w:t>4、网孔：5cm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r>
                    <w:rPr>
                      <w:rFonts w:ascii="仿宋_GB2312" w:hAnsi="仿宋_GB2312" w:cs="仿宋_GB2312" w:eastAsia="仿宋_GB2312"/>
                      <w:sz w:val="20"/>
                    </w:rPr>
                    <w:t>2.5米</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预付款，合同签订后，甲方收到增值税普通发票后，达到付款条件起20个工作日内，支付合同总金额的50.0%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其他，所供货物经安装调试，达到正常使用状态且验收合格，甲方收到增值税普通发票后，达到付款条件起20个工作日内，支付合同总金额的50.0%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达到竞争性谈判文件及国家规定的“合格”标准。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资格条件.docx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资格条件.docx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供应商提供《非联合体、不分包投标声明》，视为独立响应，不分包；供应商应提供承诺书，格式及内容具体参见“响应文件格式”。</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供应商提供具有履行合同所必需的设备和专业技术能力的声明；供应商应提供承诺书，格式及内容具体参见“响应文件格式”。</w:t>
            </w:r>
          </w:p>
        </w:tc>
        <w:tc>
          <w:tcPr>
            <w:tcW w:type="dxa" w:w="1661"/>
          </w:tcPr>
          <w:p>
            <w:pPr>
              <w:pStyle w:val="null3"/>
            </w:pPr>
            <w:r>
              <w:rPr>
                <w:rFonts w:ascii="仿宋_GB2312" w:hAnsi="仿宋_GB2312" w:cs="仿宋_GB2312" w:eastAsia="仿宋_GB2312"/>
              </w:rPr>
              <w:t>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组认为供应商的报价明显低于其他通过符合性审查供应商的报价，有可能影响产品质⾥或者不能诚信履约的，谈判⼩组应当要求其在合理的时间内在项⽬电⼦化交易系统中上传说明材料，必要时提交相关证明材料。供应商提交的相关证明材料，应当加盖供应商(法定名称)电⼦印章，在谈判⼩组要求的时间内通过项⽬电⼦化交易系统进⾏提交，否则提交的相关证明材料⽆效。供应商不能证明其报价合理性的，谈判⼩组应当将其响应⽂件作为⽆效处理。</w:t>
            </w:r>
          </w:p>
        </w:tc>
        <w:tc>
          <w:tcPr>
            <w:tcW w:type="dxa" w:w="1661"/>
          </w:tcPr>
          <w:p>
            <w:pPr>
              <w:pStyle w:val="null3"/>
            </w:pPr>
            <w:r>
              <w:rPr>
                <w:rFonts w:ascii="仿宋_GB2312" w:hAnsi="仿宋_GB2312" w:cs="仿宋_GB2312" w:eastAsia="仿宋_GB2312"/>
              </w:rPr>
              <w:t>标的清单 报价表 分项报价表（二次）.pdf 响应函 分项报价表（首次）.pdf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谈判文件规定要求签署、盖章的；(2)不满足本谈判文件中“交货时间、交货地点、采购资金的支付方式及约定、质量保修范围和保修期”的实质性条款要求的；(3)响应有效期不足的或无有效期的；(4)报价超过谈判文件中规定的采购预算或最高限价的；(5)法律、法规和谈判文件规定的其他无效情形。</w:t>
            </w:r>
          </w:p>
        </w:tc>
        <w:tc>
          <w:tcPr>
            <w:tcW w:type="dxa" w:w="1661"/>
          </w:tcPr>
          <w:p>
            <w:pPr>
              <w:pStyle w:val="null3"/>
            </w:pPr>
            <w:r>
              <w:rPr>
                <w:rFonts w:ascii="仿宋_GB2312" w:hAnsi="仿宋_GB2312" w:cs="仿宋_GB2312" w:eastAsia="仿宋_GB2312"/>
              </w:rPr>
              <w:t>谈判方案.pdf 资格条件.docx 中小企业声明函 报价表 响应文件封面 产品技术参数表 残疾人福利性单位声明函 标的清单 分项报价表（二次）.pdf 响应函 商务条款偏离表.docx 监狱企业的证明文件 分项报价表（首次）.pdf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详见附件：分项报价表（首次）.pdf</w:t>
      </w:r>
    </w:p>
    <w:p>
      <w:pPr>
        <w:pStyle w:val="null3"/>
        <w:ind w:firstLine="960"/>
      </w:pPr>
      <w:r>
        <w:rPr>
          <w:rFonts w:ascii="仿宋_GB2312" w:hAnsi="仿宋_GB2312" w:cs="仿宋_GB2312" w:eastAsia="仿宋_GB2312"/>
        </w:rPr>
        <w:t>详见附件：分项报价表（二次）.pdf</w:t>
      </w:r>
    </w:p>
    <w:p>
      <w:pPr>
        <w:pStyle w:val="null3"/>
        <w:ind w:firstLine="960"/>
      </w:pPr>
      <w:r>
        <w:rPr>
          <w:rFonts w:ascii="仿宋_GB2312" w:hAnsi="仿宋_GB2312" w:cs="仿宋_GB2312" w:eastAsia="仿宋_GB2312"/>
        </w:rPr>
        <w:t>详见附件：资格条件.docx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详见附件：谈判方案.pdf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详见附件：中转站环保辅助装置-合同(1).docx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