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7AC4B">
      <w:pPr>
        <w:adjustRightInd w:val="0"/>
        <w:snapToGrid w:val="0"/>
        <w:spacing w:line="360" w:lineRule="auto"/>
        <w:jc w:val="center"/>
        <w:rPr>
          <w:rFonts w:hint="eastAsia" w:ascii="仿宋" w:hAnsi="仿宋" w:eastAsia="仿宋" w:cs="仿宋"/>
          <w:b/>
          <w:sz w:val="32"/>
          <w:szCs w:val="32"/>
          <w:lang w:val="en-US" w:eastAsia="zh-CN"/>
        </w:rPr>
      </w:pPr>
      <w:bookmarkStart w:id="31" w:name="_GoBack"/>
      <w:r>
        <w:rPr>
          <w:rFonts w:hint="eastAsia" w:ascii="仿宋" w:hAnsi="仿宋" w:eastAsia="仿宋" w:cs="仿宋"/>
          <w:b/>
          <w:sz w:val="32"/>
          <w:szCs w:val="32"/>
          <w:lang w:val="en-US" w:eastAsia="zh-CN"/>
        </w:rPr>
        <w:t>拟签订的合同文本</w:t>
      </w:r>
    </w:p>
    <w:bookmarkEnd w:id="31"/>
    <w:p w14:paraId="1417E1B5">
      <w:pPr>
        <w:adjustRightInd w:val="0"/>
        <w:snapToGrid w:val="0"/>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（仅供参考）</w:t>
      </w:r>
    </w:p>
    <w:p w14:paraId="18204298">
      <w:pPr>
        <w:adjustRightInd w:val="0"/>
        <w:snapToGrid w:val="0"/>
        <w:spacing w:line="360" w:lineRule="auto"/>
        <w:ind w:firstLine="482" w:firstLineChars="200"/>
        <w:rPr>
          <w:rFonts w:hint="default" w:ascii="仿宋" w:hAnsi="仿宋" w:eastAsia="仿宋" w:cs="仿宋"/>
          <w:b/>
          <w:sz w:val="24"/>
          <w:szCs w:val="24"/>
          <w:lang w:val="en-US" w:eastAsia="zh-CN"/>
        </w:rPr>
      </w:pPr>
      <w:r>
        <w:rPr>
          <w:rFonts w:hint="eastAsia" w:ascii="仿宋" w:hAnsi="仿宋" w:eastAsia="仿宋" w:cs="仿宋"/>
          <w:b/>
          <w:sz w:val="24"/>
          <w:szCs w:val="24"/>
        </w:rPr>
        <w:t>采购人（全称）：</w:t>
      </w:r>
      <w:r>
        <w:rPr>
          <w:rFonts w:hint="eastAsia" w:ascii="仿宋" w:hAnsi="仿宋" w:eastAsia="仿宋" w:cs="仿宋"/>
          <w:b/>
          <w:sz w:val="24"/>
          <w:szCs w:val="24"/>
          <w:u w:val="single"/>
          <w:lang w:val="en-US" w:eastAsia="zh-CN"/>
        </w:rPr>
        <w:t xml:space="preserve">                </w:t>
      </w:r>
    </w:p>
    <w:p w14:paraId="15F42201">
      <w:pPr>
        <w:adjustRightInd w:val="0"/>
        <w:snapToGrid w:val="0"/>
        <w:spacing w:line="360" w:lineRule="auto"/>
        <w:ind w:firstLine="482" w:firstLineChars="200"/>
        <w:rPr>
          <w:rFonts w:hint="default" w:ascii="仿宋" w:hAnsi="仿宋" w:eastAsia="仿宋" w:cs="仿宋"/>
          <w:sz w:val="24"/>
          <w:szCs w:val="24"/>
          <w:lang w:val="en-US" w:eastAsia="zh-CN"/>
        </w:rPr>
      </w:pPr>
      <w:r>
        <w:rPr>
          <w:rFonts w:hint="eastAsia" w:ascii="仿宋" w:hAnsi="仿宋" w:eastAsia="仿宋" w:cs="仿宋"/>
          <w:b/>
          <w:sz w:val="24"/>
          <w:szCs w:val="24"/>
        </w:rPr>
        <w:t>供应商（全称）：</w:t>
      </w:r>
      <w:r>
        <w:rPr>
          <w:rFonts w:hint="eastAsia" w:ascii="仿宋" w:hAnsi="仿宋" w:eastAsia="仿宋" w:cs="仿宋"/>
          <w:b/>
          <w:sz w:val="24"/>
          <w:szCs w:val="24"/>
          <w:u w:val="single"/>
          <w:lang w:val="en-US" w:eastAsia="zh-CN"/>
        </w:rPr>
        <w:t xml:space="preserve">                </w:t>
      </w:r>
    </w:p>
    <w:p w14:paraId="18747C0E">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根据《中华人民共和国民法典》及其他有关法律、法规，遵循平等、自愿、公平和诚信的原则，双方就下述项目范围与相关服务事项协商一致，订立本合同。</w:t>
      </w:r>
    </w:p>
    <w:p w14:paraId="1FAEEC04">
      <w:pPr>
        <w:spacing w:line="360" w:lineRule="auto"/>
        <w:rPr>
          <w:rFonts w:hint="eastAsia" w:ascii="仿宋" w:hAnsi="仿宋" w:eastAsia="仿宋" w:cs="仿宋"/>
          <w:b/>
          <w:sz w:val="24"/>
          <w:szCs w:val="24"/>
        </w:rPr>
      </w:pPr>
      <w:r>
        <w:rPr>
          <w:rFonts w:hint="eastAsia" w:ascii="仿宋" w:hAnsi="仿宋" w:eastAsia="仿宋" w:cs="仿宋"/>
          <w:b/>
          <w:sz w:val="24"/>
          <w:szCs w:val="24"/>
        </w:rPr>
        <w:t>一、项目概况</w:t>
      </w:r>
    </w:p>
    <w:p w14:paraId="19DD916B">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1.项目名称：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66A2B99F">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2.项目地点：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65B53F5E">
      <w:pPr>
        <w:spacing w:line="360" w:lineRule="auto"/>
        <w:rPr>
          <w:rFonts w:hint="eastAsia" w:ascii="仿宋" w:hAnsi="仿宋" w:eastAsia="仿宋" w:cs="仿宋"/>
          <w:b/>
          <w:sz w:val="24"/>
          <w:szCs w:val="24"/>
        </w:rPr>
      </w:pPr>
      <w:r>
        <w:rPr>
          <w:rFonts w:hint="eastAsia" w:ascii="仿宋" w:hAnsi="仿宋" w:eastAsia="仿宋" w:cs="仿宋"/>
          <w:b/>
          <w:sz w:val="24"/>
          <w:szCs w:val="24"/>
        </w:rPr>
        <w:t>二、组成本合同的文件</w:t>
      </w:r>
    </w:p>
    <w:p w14:paraId="16B3A90A">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1.协议书；</w:t>
      </w:r>
    </w:p>
    <w:p w14:paraId="04CF406D">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2.成交通知书、竞争性谈判响应文件、竞争性谈判文件、澄清、采购补充文件；</w:t>
      </w:r>
    </w:p>
    <w:p w14:paraId="08B46ED7">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3.相关服务建议书；</w:t>
      </w:r>
    </w:p>
    <w:p w14:paraId="073B334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4.附录，即：附表内相关服务的范围和内容；</w:t>
      </w:r>
    </w:p>
    <w:p w14:paraId="7F6D125E">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本合同签订后，双方依法签订的补充协议也是本合同文件的组成部分。</w:t>
      </w:r>
    </w:p>
    <w:p w14:paraId="5EB4185E">
      <w:pPr>
        <w:spacing w:line="360" w:lineRule="auto"/>
        <w:rPr>
          <w:rFonts w:hint="eastAsia" w:ascii="仿宋" w:hAnsi="仿宋" w:eastAsia="仿宋" w:cs="仿宋"/>
          <w:b/>
          <w:sz w:val="24"/>
          <w:szCs w:val="24"/>
        </w:rPr>
      </w:pPr>
      <w:r>
        <w:rPr>
          <w:rFonts w:hint="eastAsia" w:ascii="仿宋" w:hAnsi="仿宋" w:eastAsia="仿宋" w:cs="仿宋"/>
          <w:b/>
          <w:sz w:val="24"/>
          <w:szCs w:val="24"/>
        </w:rPr>
        <w:t>三、合同金额</w:t>
      </w:r>
    </w:p>
    <w:p w14:paraId="69390A96">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1.本合同为总价合同。</w:t>
      </w:r>
    </w:p>
    <w:p w14:paraId="6186ADBB">
      <w:pPr>
        <w:adjustRightInd w:val="0"/>
        <w:snapToGrid w:val="0"/>
        <w:spacing w:line="360" w:lineRule="auto"/>
        <w:ind w:firstLine="475" w:firstLineChars="198"/>
        <w:rPr>
          <w:rFonts w:hint="default" w:ascii="仿宋" w:hAnsi="仿宋" w:eastAsia="仿宋" w:cs="仿宋"/>
          <w:sz w:val="24"/>
          <w:szCs w:val="24"/>
          <w:lang w:val="en-US" w:eastAsia="zh-CN"/>
        </w:rPr>
      </w:pPr>
      <w:r>
        <w:rPr>
          <w:rFonts w:hint="eastAsia" w:ascii="仿宋" w:hAnsi="仿宋" w:eastAsia="仿宋" w:cs="仿宋"/>
          <w:sz w:val="24"/>
          <w:szCs w:val="24"/>
        </w:rPr>
        <w:t>合同总价（大写）：</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56FF690E">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合同总价即成交价，合同总价包干，不受市场价变化或实际工作量变化的影响，合同价格为含税价，供应商（成交人）提供产品所发生的一切税（包括增值税）费等都已包含于合同价款中。</w:t>
      </w:r>
    </w:p>
    <w:p w14:paraId="337CDC5B">
      <w:pPr>
        <w:adjustRightInd w:val="0"/>
        <w:snapToGrid w:val="0"/>
        <w:spacing w:line="360" w:lineRule="auto"/>
        <w:ind w:firstLine="475" w:firstLineChars="198"/>
        <w:rPr>
          <w:rFonts w:hint="eastAsia" w:ascii="仿宋" w:hAnsi="仿宋" w:eastAsia="仿宋" w:cs="仿宋"/>
          <w:sz w:val="24"/>
          <w:szCs w:val="24"/>
        </w:rPr>
      </w:pPr>
      <w:r>
        <w:rPr>
          <w:rFonts w:hint="eastAsia" w:ascii="仿宋" w:hAnsi="仿宋" w:eastAsia="仿宋" w:cs="仿宋"/>
          <w:sz w:val="24"/>
          <w:szCs w:val="24"/>
        </w:rPr>
        <w:t>2.合同单价详见附件清单。</w:t>
      </w:r>
    </w:p>
    <w:p w14:paraId="798C987F">
      <w:pPr>
        <w:adjustRightInd w:val="0"/>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四、结算方式</w:t>
      </w:r>
    </w:p>
    <w:p w14:paraId="1D01746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1.结算单位：银行转账，由采购人负责结算。在付款前，供应商必须开具与合同金额相应的发票给使用单位，附详细清单。</w:t>
      </w:r>
    </w:p>
    <w:p w14:paraId="5056B85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w:t>
      </w:r>
    </w:p>
    <w:p w14:paraId="603DD23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合同签订后，甲方收到增值税普通发票后，达到付款条件起20日内，支付合同总金额的50.00%。</w:t>
      </w:r>
    </w:p>
    <w:p w14:paraId="56418A2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（2）所供货物经安装调试，达到正常使用状态</w:t>
      </w:r>
      <w:r>
        <w:rPr>
          <w:rFonts w:hint="eastAsia" w:ascii="仿宋_GB2312" w:hAnsi="仿宋_GB2312" w:eastAsia="仿宋_GB2312" w:cs="仿宋_GB2312"/>
          <w:sz w:val="24"/>
          <w:szCs w:val="24"/>
          <w:highlight w:val="none"/>
          <w:lang w:val="en-US" w:eastAsia="zh-CN"/>
        </w:rPr>
        <w:t>且验收合格</w:t>
      </w:r>
      <w:r>
        <w:rPr>
          <w:rFonts w:hint="eastAsia" w:ascii="仿宋" w:hAnsi="仿宋" w:eastAsia="仿宋" w:cs="仿宋"/>
          <w:sz w:val="24"/>
          <w:szCs w:val="24"/>
          <w:highlight w:val="none"/>
        </w:rPr>
        <w:t>，甲方收到增值税普通发票后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达到付款条件起20日内，支付合同总金额的50.00%。</w:t>
      </w:r>
    </w:p>
    <w:p w14:paraId="0706BB6F">
      <w:pPr>
        <w:numPr>
          <w:ilvl w:val="0"/>
          <w:numId w:val="0"/>
        </w:numPr>
        <w:tabs>
          <w:tab w:val="left" w:pos="840"/>
        </w:tabs>
        <w:spacing w:line="360" w:lineRule="auto"/>
        <w:rPr>
          <w:rFonts w:hint="eastAsia" w:ascii="仿宋" w:hAnsi="仿宋" w:eastAsia="仿宋" w:cs="仿宋"/>
          <w:b/>
          <w:sz w:val="24"/>
          <w:szCs w:val="24"/>
          <w:highlight w:val="none"/>
        </w:rPr>
      </w:pPr>
      <w:r>
        <w:rPr>
          <w:rFonts w:hint="eastAsia" w:ascii="仿宋" w:hAnsi="仿宋" w:eastAsia="仿宋" w:cs="仿宋"/>
          <w:b/>
          <w:kern w:val="2"/>
          <w:sz w:val="24"/>
          <w:szCs w:val="24"/>
          <w:highlight w:val="none"/>
          <w:lang w:val="en-US" w:eastAsia="zh-CN" w:bidi="ar-SA"/>
        </w:rPr>
        <w:t>五、</w:t>
      </w:r>
      <w:r>
        <w:rPr>
          <w:rFonts w:hint="eastAsia" w:ascii="仿宋" w:hAnsi="仿宋" w:eastAsia="仿宋" w:cs="仿宋"/>
          <w:b/>
          <w:sz w:val="24"/>
          <w:szCs w:val="24"/>
          <w:highlight w:val="none"/>
        </w:rPr>
        <w:t>交货期：</w:t>
      </w:r>
      <w:r>
        <w:rPr>
          <w:rFonts w:hint="eastAsia" w:ascii="仿宋" w:hAnsi="仿宋" w:eastAsia="仿宋" w:cs="仿宋"/>
          <w:b/>
          <w:bCs w:val="0"/>
          <w:sz w:val="24"/>
          <w:szCs w:val="24"/>
          <w:highlight w:val="none"/>
        </w:rPr>
        <w:t>自合同签订之日起</w:t>
      </w:r>
      <w:r>
        <w:rPr>
          <w:rFonts w:hint="eastAsia" w:ascii="仿宋" w:hAnsi="仿宋" w:eastAsia="仿宋" w:cs="仿宋"/>
          <w:b/>
          <w:bCs w:val="0"/>
          <w:sz w:val="24"/>
          <w:szCs w:val="24"/>
          <w:highlight w:val="none"/>
          <w:lang w:val="en-US" w:eastAsia="zh-CN"/>
        </w:rPr>
        <w:t>45</w:t>
      </w:r>
      <w:r>
        <w:rPr>
          <w:rFonts w:hint="eastAsia" w:ascii="仿宋" w:hAnsi="仿宋" w:eastAsia="仿宋" w:cs="仿宋"/>
          <w:b/>
          <w:bCs w:val="0"/>
          <w:sz w:val="24"/>
          <w:szCs w:val="24"/>
          <w:highlight w:val="none"/>
        </w:rPr>
        <w:t>个日历日完成全部项目内容，并交付采购人验收合格。</w:t>
      </w:r>
    </w:p>
    <w:p w14:paraId="0E9204DE">
      <w:pPr>
        <w:numPr>
          <w:ilvl w:val="0"/>
          <w:numId w:val="0"/>
        </w:numPr>
        <w:tabs>
          <w:tab w:val="left" w:pos="84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六、质保期：</w:t>
      </w:r>
      <w:r>
        <w:rPr>
          <w:rFonts w:hint="eastAsia" w:ascii="仿宋" w:hAnsi="仿宋" w:eastAsia="仿宋" w:cs="仿宋"/>
          <w:b/>
          <w:sz w:val="24"/>
          <w:szCs w:val="24"/>
          <w:highlight w:val="none"/>
          <w:u w:val="single"/>
        </w:rPr>
        <w:t>自验收合格之日起质保一年。</w:t>
      </w:r>
    </w:p>
    <w:p w14:paraId="55C4A176">
      <w:pPr>
        <w:tabs>
          <w:tab w:val="left" w:pos="84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七、内容及要求</w:t>
      </w:r>
    </w:p>
    <w:p w14:paraId="342179F2">
      <w:pPr>
        <w:tabs>
          <w:tab w:val="left" w:pos="8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即交付的产品、服务内容、数量与竞争性谈判响应文件、竞争性谈判文件等所指明的，或者与本合同所指明的产品、服务内容相</w:t>
      </w:r>
      <w:r>
        <w:rPr>
          <w:rFonts w:hint="eastAsia" w:ascii="仿宋" w:hAnsi="仿宋" w:eastAsia="仿宋" w:cs="仿宋"/>
          <w:sz w:val="24"/>
          <w:szCs w:val="24"/>
        </w:rPr>
        <w:t>一致。（附清单）</w:t>
      </w:r>
    </w:p>
    <w:p w14:paraId="2BD515ED">
      <w:pPr>
        <w:spacing w:after="120" w:line="360" w:lineRule="auto"/>
        <w:jc w:val="center"/>
        <w:rPr>
          <w:rFonts w:hint="eastAsia" w:ascii="仿宋" w:hAnsi="仿宋" w:eastAsia="仿宋" w:cs="仿宋"/>
          <w:b/>
          <w:sz w:val="24"/>
          <w:szCs w:val="24"/>
        </w:rPr>
      </w:pPr>
      <w:bookmarkStart w:id="0" w:name="_Toc6161"/>
      <w:bookmarkStart w:id="1" w:name="_Toc13024"/>
      <w:bookmarkStart w:id="2" w:name="_Toc18856"/>
      <w:r>
        <w:rPr>
          <w:rFonts w:hint="eastAsia" w:ascii="仿宋" w:hAnsi="仿宋" w:eastAsia="仿宋" w:cs="仿宋"/>
          <w:b/>
          <w:sz w:val="24"/>
          <w:szCs w:val="24"/>
        </w:rPr>
        <w:t>供货内容一览表</w:t>
      </w:r>
      <w:bookmarkEnd w:id="0"/>
      <w:bookmarkEnd w:id="1"/>
      <w:bookmarkEnd w:id="2"/>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690F3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C3006E7">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4DCC8EB5">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r>
              <w:rPr>
                <w:rFonts w:hint="eastAsia" w:ascii="仿宋" w:hAnsi="仿宋" w:eastAsia="仿宋" w:cs="仿宋"/>
                <w:b/>
                <w:sz w:val="24"/>
                <w:szCs w:val="24"/>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4BC4956D">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3" w:name="_Toc21512"/>
            <w:bookmarkStart w:id="4" w:name="_Toc27392"/>
            <w:bookmarkStart w:id="5" w:name="_Toc30417"/>
            <w:bookmarkStart w:id="6" w:name="_Toc16506"/>
            <w:r>
              <w:rPr>
                <w:rFonts w:hint="eastAsia" w:ascii="仿宋" w:hAnsi="仿宋" w:eastAsia="仿宋" w:cs="仿宋"/>
                <w:b/>
                <w:sz w:val="24"/>
                <w:szCs w:val="24"/>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5C67D328">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7" w:name="_Toc15345"/>
            <w:bookmarkStart w:id="8" w:name="_Toc109"/>
            <w:bookmarkStart w:id="9" w:name="_Toc27421"/>
            <w:bookmarkStart w:id="10" w:name="_Toc8981"/>
            <w:r>
              <w:rPr>
                <w:rFonts w:hint="eastAsia" w:ascii="仿宋" w:hAnsi="仿宋" w:eastAsia="仿宋" w:cs="仿宋"/>
                <w:b/>
                <w:sz w:val="24"/>
                <w:szCs w:val="24"/>
              </w:rPr>
              <w:t>原产地及制造厂名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271237DC">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11" w:name="_Toc14127"/>
            <w:bookmarkStart w:id="12" w:name="_Toc20611"/>
            <w:bookmarkStart w:id="13" w:name="_Toc10570"/>
            <w:bookmarkStart w:id="14" w:name="_Toc14339"/>
            <w:r>
              <w:rPr>
                <w:rFonts w:hint="eastAsia" w:ascii="仿宋" w:hAnsi="仿宋" w:eastAsia="仿宋" w:cs="仿宋"/>
                <w:b/>
                <w:sz w:val="24"/>
                <w:szCs w:val="24"/>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FE16A5F">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15" w:name="_Toc15777"/>
            <w:bookmarkStart w:id="16" w:name="_Toc21991"/>
            <w:bookmarkStart w:id="17" w:name="_Toc31109"/>
            <w:bookmarkStart w:id="18" w:name="_Toc879"/>
            <w:r>
              <w:rPr>
                <w:rFonts w:hint="eastAsia" w:ascii="仿宋" w:hAnsi="仿宋" w:eastAsia="仿宋" w:cs="仿宋"/>
                <w:b/>
                <w:sz w:val="24"/>
                <w:szCs w:val="24"/>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49327C38">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19" w:name="_Toc6689"/>
            <w:bookmarkStart w:id="20" w:name="_Toc23428"/>
            <w:bookmarkStart w:id="21" w:name="_Toc28024"/>
            <w:bookmarkStart w:id="22" w:name="_Toc12748"/>
            <w:r>
              <w:rPr>
                <w:rFonts w:hint="eastAsia" w:ascii="仿宋" w:hAnsi="仿宋" w:eastAsia="仿宋" w:cs="仿宋"/>
                <w:b/>
                <w:sz w:val="24"/>
                <w:szCs w:val="24"/>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5FDC3A4B">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23" w:name="_Toc916"/>
            <w:bookmarkStart w:id="24" w:name="_Toc2991"/>
            <w:bookmarkStart w:id="25" w:name="_Toc10344"/>
            <w:bookmarkStart w:id="26" w:name="_Toc21882"/>
            <w:r>
              <w:rPr>
                <w:rFonts w:hint="eastAsia" w:ascii="仿宋" w:hAnsi="仿宋" w:eastAsia="仿宋" w:cs="仿宋"/>
                <w:b/>
                <w:sz w:val="24"/>
                <w:szCs w:val="24"/>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5BE6AA6A">
            <w:pPr>
              <w:keepNext w:val="0"/>
              <w:keepLines w:val="0"/>
              <w:suppressLineNumbers w:val="0"/>
              <w:spacing w:before="0" w:beforeAutospacing="0" w:after="120" w:afterAutospacing="0" w:line="360" w:lineRule="auto"/>
              <w:ind w:left="0" w:right="0"/>
              <w:jc w:val="center"/>
              <w:rPr>
                <w:rFonts w:hint="eastAsia" w:ascii="仿宋" w:hAnsi="仿宋" w:eastAsia="仿宋" w:cs="仿宋"/>
                <w:b/>
                <w:sz w:val="24"/>
                <w:szCs w:val="24"/>
              </w:rPr>
            </w:pPr>
            <w:bookmarkStart w:id="27" w:name="_Toc31273"/>
            <w:bookmarkStart w:id="28" w:name="_Toc10193"/>
            <w:bookmarkStart w:id="29" w:name="_Toc17703"/>
            <w:bookmarkStart w:id="30" w:name="_Toc18945"/>
            <w:r>
              <w:rPr>
                <w:rFonts w:hint="eastAsia" w:ascii="仿宋" w:hAnsi="仿宋" w:eastAsia="仿宋" w:cs="仿宋"/>
                <w:b/>
                <w:sz w:val="24"/>
                <w:szCs w:val="24"/>
              </w:rPr>
              <w:t>备注</w:t>
            </w:r>
            <w:bookmarkEnd w:id="27"/>
            <w:bookmarkEnd w:id="28"/>
            <w:bookmarkEnd w:id="29"/>
            <w:bookmarkEnd w:id="30"/>
          </w:p>
        </w:tc>
      </w:tr>
      <w:tr w14:paraId="1A7AA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59D8CBF">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60" w:type="dxa"/>
            <w:tcBorders>
              <w:top w:val="single" w:color="auto" w:sz="4" w:space="0"/>
              <w:left w:val="single" w:color="auto" w:sz="4" w:space="0"/>
              <w:bottom w:val="single" w:color="auto" w:sz="4" w:space="0"/>
              <w:right w:val="single" w:color="auto" w:sz="4" w:space="0"/>
            </w:tcBorders>
          </w:tcPr>
          <w:p w14:paraId="47ECF058">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485" w:type="dxa"/>
            <w:tcBorders>
              <w:top w:val="single" w:color="auto" w:sz="4" w:space="0"/>
              <w:left w:val="single" w:color="auto" w:sz="4" w:space="0"/>
              <w:bottom w:val="single" w:color="auto" w:sz="4" w:space="0"/>
              <w:right w:val="single" w:color="auto" w:sz="4" w:space="0"/>
            </w:tcBorders>
          </w:tcPr>
          <w:p w14:paraId="351CD696">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695" w:type="dxa"/>
            <w:tcBorders>
              <w:top w:val="single" w:color="auto" w:sz="4" w:space="0"/>
              <w:left w:val="single" w:color="auto" w:sz="4" w:space="0"/>
              <w:bottom w:val="single" w:color="auto" w:sz="4" w:space="0"/>
              <w:right w:val="single" w:color="auto" w:sz="4" w:space="0"/>
            </w:tcBorders>
          </w:tcPr>
          <w:p w14:paraId="719AF1A6">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825" w:type="dxa"/>
            <w:tcBorders>
              <w:top w:val="single" w:color="auto" w:sz="4" w:space="0"/>
              <w:left w:val="single" w:color="auto" w:sz="4" w:space="0"/>
              <w:bottom w:val="single" w:color="auto" w:sz="4" w:space="0"/>
              <w:right w:val="single" w:color="auto" w:sz="4" w:space="0"/>
            </w:tcBorders>
          </w:tcPr>
          <w:p w14:paraId="71181DA8">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735" w:type="dxa"/>
            <w:tcBorders>
              <w:top w:val="single" w:color="auto" w:sz="4" w:space="0"/>
              <w:left w:val="single" w:color="auto" w:sz="4" w:space="0"/>
              <w:bottom w:val="single" w:color="auto" w:sz="4" w:space="0"/>
              <w:right w:val="single" w:color="auto" w:sz="4" w:space="0"/>
            </w:tcBorders>
          </w:tcPr>
          <w:p w14:paraId="7017132B">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050" w:type="dxa"/>
            <w:tcBorders>
              <w:top w:val="single" w:color="auto" w:sz="4" w:space="0"/>
              <w:left w:val="single" w:color="auto" w:sz="4" w:space="0"/>
              <w:bottom w:val="single" w:color="auto" w:sz="4" w:space="0"/>
              <w:right w:val="single" w:color="auto" w:sz="4" w:space="0"/>
            </w:tcBorders>
          </w:tcPr>
          <w:p w14:paraId="6BAAF2D6">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215" w:type="dxa"/>
            <w:tcBorders>
              <w:top w:val="single" w:color="auto" w:sz="4" w:space="0"/>
              <w:left w:val="single" w:color="auto" w:sz="4" w:space="0"/>
              <w:bottom w:val="single" w:color="auto" w:sz="4" w:space="0"/>
              <w:right w:val="single" w:color="auto" w:sz="4" w:space="0"/>
            </w:tcBorders>
          </w:tcPr>
          <w:p w14:paraId="37FC6CC4">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03" w:type="dxa"/>
            <w:tcBorders>
              <w:top w:val="single" w:color="auto" w:sz="4" w:space="0"/>
              <w:left w:val="single" w:color="auto" w:sz="4" w:space="0"/>
              <w:bottom w:val="single" w:color="auto" w:sz="4" w:space="0"/>
              <w:right w:val="single" w:color="auto" w:sz="4" w:space="0"/>
            </w:tcBorders>
          </w:tcPr>
          <w:p w14:paraId="79469419">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r>
      <w:tr w14:paraId="6FBE1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7423031A">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60" w:type="dxa"/>
            <w:tcBorders>
              <w:top w:val="single" w:color="auto" w:sz="4" w:space="0"/>
              <w:left w:val="single" w:color="auto" w:sz="4" w:space="0"/>
              <w:bottom w:val="single" w:color="auto" w:sz="4" w:space="0"/>
              <w:right w:val="single" w:color="auto" w:sz="4" w:space="0"/>
            </w:tcBorders>
          </w:tcPr>
          <w:p w14:paraId="38078861">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485" w:type="dxa"/>
            <w:tcBorders>
              <w:top w:val="single" w:color="auto" w:sz="4" w:space="0"/>
              <w:left w:val="single" w:color="auto" w:sz="4" w:space="0"/>
              <w:bottom w:val="single" w:color="auto" w:sz="4" w:space="0"/>
              <w:right w:val="single" w:color="auto" w:sz="4" w:space="0"/>
            </w:tcBorders>
          </w:tcPr>
          <w:p w14:paraId="7E9DD3D8">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695" w:type="dxa"/>
            <w:tcBorders>
              <w:top w:val="single" w:color="auto" w:sz="4" w:space="0"/>
              <w:left w:val="single" w:color="auto" w:sz="4" w:space="0"/>
              <w:bottom w:val="single" w:color="auto" w:sz="4" w:space="0"/>
              <w:right w:val="single" w:color="auto" w:sz="4" w:space="0"/>
            </w:tcBorders>
          </w:tcPr>
          <w:p w14:paraId="40BA74B3">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825" w:type="dxa"/>
            <w:tcBorders>
              <w:top w:val="single" w:color="auto" w:sz="4" w:space="0"/>
              <w:left w:val="single" w:color="auto" w:sz="4" w:space="0"/>
              <w:bottom w:val="single" w:color="auto" w:sz="4" w:space="0"/>
              <w:right w:val="single" w:color="auto" w:sz="4" w:space="0"/>
            </w:tcBorders>
          </w:tcPr>
          <w:p w14:paraId="78F984BE">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735" w:type="dxa"/>
            <w:tcBorders>
              <w:top w:val="single" w:color="auto" w:sz="4" w:space="0"/>
              <w:left w:val="single" w:color="auto" w:sz="4" w:space="0"/>
              <w:bottom w:val="single" w:color="auto" w:sz="4" w:space="0"/>
              <w:right w:val="single" w:color="auto" w:sz="4" w:space="0"/>
            </w:tcBorders>
          </w:tcPr>
          <w:p w14:paraId="79423A28">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050" w:type="dxa"/>
            <w:tcBorders>
              <w:top w:val="single" w:color="auto" w:sz="4" w:space="0"/>
              <w:left w:val="single" w:color="auto" w:sz="4" w:space="0"/>
              <w:bottom w:val="single" w:color="auto" w:sz="4" w:space="0"/>
              <w:right w:val="single" w:color="auto" w:sz="4" w:space="0"/>
            </w:tcBorders>
          </w:tcPr>
          <w:p w14:paraId="2DDA9F82">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215" w:type="dxa"/>
            <w:tcBorders>
              <w:top w:val="single" w:color="auto" w:sz="4" w:space="0"/>
              <w:left w:val="single" w:color="auto" w:sz="4" w:space="0"/>
              <w:bottom w:val="single" w:color="auto" w:sz="4" w:space="0"/>
              <w:right w:val="single" w:color="auto" w:sz="4" w:space="0"/>
            </w:tcBorders>
          </w:tcPr>
          <w:p w14:paraId="1B39FCE5">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03" w:type="dxa"/>
            <w:tcBorders>
              <w:top w:val="single" w:color="auto" w:sz="4" w:space="0"/>
              <w:left w:val="single" w:color="auto" w:sz="4" w:space="0"/>
              <w:bottom w:val="single" w:color="auto" w:sz="4" w:space="0"/>
              <w:right w:val="single" w:color="auto" w:sz="4" w:space="0"/>
            </w:tcBorders>
          </w:tcPr>
          <w:p w14:paraId="2CAAB8B4">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r>
      <w:tr w14:paraId="3E5EB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207DF093">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60" w:type="dxa"/>
            <w:tcBorders>
              <w:top w:val="single" w:color="auto" w:sz="4" w:space="0"/>
              <w:left w:val="single" w:color="auto" w:sz="4" w:space="0"/>
              <w:bottom w:val="single" w:color="auto" w:sz="4" w:space="0"/>
              <w:right w:val="single" w:color="auto" w:sz="4" w:space="0"/>
            </w:tcBorders>
          </w:tcPr>
          <w:p w14:paraId="52BD7635">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485" w:type="dxa"/>
            <w:tcBorders>
              <w:top w:val="single" w:color="auto" w:sz="4" w:space="0"/>
              <w:left w:val="single" w:color="auto" w:sz="4" w:space="0"/>
              <w:bottom w:val="single" w:color="auto" w:sz="4" w:space="0"/>
              <w:right w:val="single" w:color="auto" w:sz="4" w:space="0"/>
            </w:tcBorders>
          </w:tcPr>
          <w:p w14:paraId="20ED7C70">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695" w:type="dxa"/>
            <w:tcBorders>
              <w:top w:val="single" w:color="auto" w:sz="4" w:space="0"/>
              <w:left w:val="single" w:color="auto" w:sz="4" w:space="0"/>
              <w:bottom w:val="single" w:color="auto" w:sz="4" w:space="0"/>
              <w:right w:val="single" w:color="auto" w:sz="4" w:space="0"/>
            </w:tcBorders>
          </w:tcPr>
          <w:p w14:paraId="2E65377A">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825" w:type="dxa"/>
            <w:tcBorders>
              <w:top w:val="single" w:color="auto" w:sz="4" w:space="0"/>
              <w:left w:val="single" w:color="auto" w:sz="4" w:space="0"/>
              <w:bottom w:val="single" w:color="auto" w:sz="4" w:space="0"/>
              <w:right w:val="single" w:color="auto" w:sz="4" w:space="0"/>
            </w:tcBorders>
          </w:tcPr>
          <w:p w14:paraId="5A978CD3">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735" w:type="dxa"/>
            <w:tcBorders>
              <w:top w:val="single" w:color="auto" w:sz="4" w:space="0"/>
              <w:left w:val="single" w:color="auto" w:sz="4" w:space="0"/>
              <w:bottom w:val="single" w:color="auto" w:sz="4" w:space="0"/>
              <w:right w:val="single" w:color="auto" w:sz="4" w:space="0"/>
            </w:tcBorders>
          </w:tcPr>
          <w:p w14:paraId="672BE54D">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050" w:type="dxa"/>
            <w:tcBorders>
              <w:top w:val="single" w:color="auto" w:sz="4" w:space="0"/>
              <w:left w:val="single" w:color="auto" w:sz="4" w:space="0"/>
              <w:bottom w:val="single" w:color="auto" w:sz="4" w:space="0"/>
              <w:right w:val="single" w:color="auto" w:sz="4" w:space="0"/>
            </w:tcBorders>
          </w:tcPr>
          <w:p w14:paraId="2941048D">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215" w:type="dxa"/>
            <w:tcBorders>
              <w:top w:val="single" w:color="auto" w:sz="4" w:space="0"/>
              <w:left w:val="single" w:color="auto" w:sz="4" w:space="0"/>
              <w:bottom w:val="single" w:color="auto" w:sz="4" w:space="0"/>
              <w:right w:val="single" w:color="auto" w:sz="4" w:space="0"/>
            </w:tcBorders>
          </w:tcPr>
          <w:p w14:paraId="5416D384">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03" w:type="dxa"/>
            <w:tcBorders>
              <w:top w:val="single" w:color="auto" w:sz="4" w:space="0"/>
              <w:left w:val="single" w:color="auto" w:sz="4" w:space="0"/>
              <w:bottom w:val="single" w:color="auto" w:sz="4" w:space="0"/>
              <w:right w:val="single" w:color="auto" w:sz="4" w:space="0"/>
            </w:tcBorders>
          </w:tcPr>
          <w:p w14:paraId="6DF2D236">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r>
      <w:tr w14:paraId="0AC636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1FA8AD8B">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60" w:type="dxa"/>
            <w:tcBorders>
              <w:top w:val="single" w:color="auto" w:sz="4" w:space="0"/>
              <w:left w:val="single" w:color="auto" w:sz="4" w:space="0"/>
              <w:bottom w:val="single" w:color="auto" w:sz="4" w:space="0"/>
              <w:right w:val="single" w:color="auto" w:sz="4" w:space="0"/>
            </w:tcBorders>
          </w:tcPr>
          <w:p w14:paraId="03D96FCD">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485" w:type="dxa"/>
            <w:tcBorders>
              <w:top w:val="single" w:color="auto" w:sz="4" w:space="0"/>
              <w:left w:val="single" w:color="auto" w:sz="4" w:space="0"/>
              <w:bottom w:val="single" w:color="auto" w:sz="4" w:space="0"/>
              <w:right w:val="single" w:color="auto" w:sz="4" w:space="0"/>
            </w:tcBorders>
          </w:tcPr>
          <w:p w14:paraId="321A947F">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695" w:type="dxa"/>
            <w:tcBorders>
              <w:top w:val="single" w:color="auto" w:sz="4" w:space="0"/>
              <w:left w:val="single" w:color="auto" w:sz="4" w:space="0"/>
              <w:bottom w:val="single" w:color="auto" w:sz="4" w:space="0"/>
              <w:right w:val="single" w:color="auto" w:sz="4" w:space="0"/>
            </w:tcBorders>
          </w:tcPr>
          <w:p w14:paraId="04501E8E">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825" w:type="dxa"/>
            <w:tcBorders>
              <w:top w:val="single" w:color="auto" w:sz="4" w:space="0"/>
              <w:left w:val="single" w:color="auto" w:sz="4" w:space="0"/>
              <w:bottom w:val="single" w:color="auto" w:sz="4" w:space="0"/>
              <w:right w:val="single" w:color="auto" w:sz="4" w:space="0"/>
            </w:tcBorders>
          </w:tcPr>
          <w:p w14:paraId="2FE8EAF4">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735" w:type="dxa"/>
            <w:tcBorders>
              <w:top w:val="single" w:color="auto" w:sz="4" w:space="0"/>
              <w:left w:val="single" w:color="auto" w:sz="4" w:space="0"/>
              <w:bottom w:val="single" w:color="auto" w:sz="4" w:space="0"/>
              <w:right w:val="single" w:color="auto" w:sz="4" w:space="0"/>
            </w:tcBorders>
          </w:tcPr>
          <w:p w14:paraId="15ABF0D1">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050" w:type="dxa"/>
            <w:tcBorders>
              <w:top w:val="single" w:color="auto" w:sz="4" w:space="0"/>
              <w:left w:val="single" w:color="auto" w:sz="4" w:space="0"/>
              <w:bottom w:val="single" w:color="auto" w:sz="4" w:space="0"/>
              <w:right w:val="single" w:color="auto" w:sz="4" w:space="0"/>
            </w:tcBorders>
          </w:tcPr>
          <w:p w14:paraId="2FD45CC5">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1215" w:type="dxa"/>
            <w:tcBorders>
              <w:top w:val="single" w:color="auto" w:sz="4" w:space="0"/>
              <w:left w:val="single" w:color="auto" w:sz="4" w:space="0"/>
              <w:bottom w:val="single" w:color="auto" w:sz="4" w:space="0"/>
              <w:right w:val="single" w:color="auto" w:sz="4" w:space="0"/>
            </w:tcBorders>
          </w:tcPr>
          <w:p w14:paraId="55614EF9">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c>
          <w:tcPr>
            <w:tcW w:w="903" w:type="dxa"/>
            <w:tcBorders>
              <w:top w:val="single" w:color="auto" w:sz="4" w:space="0"/>
              <w:left w:val="single" w:color="auto" w:sz="4" w:space="0"/>
              <w:bottom w:val="single" w:color="auto" w:sz="4" w:space="0"/>
              <w:right w:val="single" w:color="auto" w:sz="4" w:space="0"/>
            </w:tcBorders>
          </w:tcPr>
          <w:p w14:paraId="2B1EDE57">
            <w:pPr>
              <w:keepNext w:val="0"/>
              <w:keepLines w:val="0"/>
              <w:suppressLineNumbers w:val="0"/>
              <w:spacing w:before="156" w:beforeLines="50" w:beforeAutospacing="0" w:after="0" w:afterAutospacing="0" w:line="360" w:lineRule="auto"/>
              <w:ind w:left="0" w:right="0"/>
              <w:jc w:val="center"/>
              <w:rPr>
                <w:rFonts w:hint="eastAsia" w:ascii="仿宋" w:hAnsi="仿宋" w:eastAsia="仿宋" w:cs="仿宋"/>
                <w:sz w:val="24"/>
                <w:szCs w:val="24"/>
              </w:rPr>
            </w:pPr>
          </w:p>
        </w:tc>
      </w:tr>
    </w:tbl>
    <w:p w14:paraId="5047C072">
      <w:pPr>
        <w:spacing w:line="360" w:lineRule="auto"/>
        <w:rPr>
          <w:rFonts w:hint="eastAsia" w:ascii="仿宋" w:hAnsi="仿宋" w:eastAsia="仿宋" w:cs="仿宋"/>
          <w:sz w:val="24"/>
          <w:szCs w:val="24"/>
          <w:lang w:eastAsia="zh-CN"/>
        </w:rPr>
      </w:pPr>
      <w:r>
        <w:rPr>
          <w:rFonts w:hint="eastAsia" w:ascii="仿宋" w:hAnsi="仿宋" w:eastAsia="仿宋" w:cs="仿宋"/>
          <w:b/>
          <w:sz w:val="24"/>
          <w:szCs w:val="24"/>
        </w:rPr>
        <w:t>八、运输、安装、调试要求</w:t>
      </w:r>
    </w:p>
    <w:p w14:paraId="2B1D02A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1.供应商根据产品特性，自行选择运输及包装方式，承担一切运输费用，包括从生产厂到采购人指定交货地点所需的装卸、运输（含保险费）及其他一切费用。</w:t>
      </w:r>
    </w:p>
    <w:p w14:paraId="278E693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2.由供应商安装、调试及试运行的进度计划表。</w:t>
      </w:r>
    </w:p>
    <w:p w14:paraId="2C7B32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4BFE788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4.安装和调试期间所发生的费用均由供应商负责。</w:t>
      </w:r>
    </w:p>
    <w:p w14:paraId="50E5619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5.供应商应对安装调试、整改等实施过程的安全负责，如发生人身伤亡、财产损失的由供应商负责解决并承担全部责任。</w:t>
      </w:r>
    </w:p>
    <w:p w14:paraId="2AC7E532">
      <w:pPr>
        <w:spacing w:line="360" w:lineRule="auto"/>
        <w:rPr>
          <w:rFonts w:hint="eastAsia" w:ascii="仿宋" w:hAnsi="仿宋" w:eastAsia="仿宋" w:cs="仿宋"/>
          <w:b/>
          <w:sz w:val="24"/>
          <w:szCs w:val="24"/>
        </w:rPr>
      </w:pPr>
      <w:r>
        <w:rPr>
          <w:rFonts w:hint="eastAsia" w:ascii="仿宋" w:hAnsi="仿宋" w:eastAsia="仿宋" w:cs="仿宋"/>
          <w:b/>
          <w:sz w:val="24"/>
          <w:szCs w:val="24"/>
        </w:rPr>
        <w:t>九、技术支持</w:t>
      </w:r>
    </w:p>
    <w:p w14:paraId="615A272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4B339D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2.供应商在项目实施过程中，质量保障人员、资源不足或者执行不力，给项目质量带来的风险超出采购人认定的允许范围时，采购人可终止本项目的合作并进行索赔。</w:t>
      </w:r>
    </w:p>
    <w:p w14:paraId="70674C24">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十、技术培训</w:t>
      </w:r>
    </w:p>
    <w:p w14:paraId="4F91F03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39A90A8F">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十一、技术资料要求</w:t>
      </w:r>
    </w:p>
    <w:p w14:paraId="76E6F8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供应商应向采购人提供全套中文技术资料一套，其费用包括在谈判价格中：</w:t>
      </w:r>
    </w:p>
    <w:p w14:paraId="10442C9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1.完整的产品操作使用手册、说明书和维护、修理技术文件，图纸（线路图、原理图等）、保修卡等；</w:t>
      </w:r>
    </w:p>
    <w:p w14:paraId="28F741D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2.制造厂的检验、测试报告、产品检验合格证书，质量保证书等文件验收时须一并提供；</w:t>
      </w:r>
    </w:p>
    <w:p w14:paraId="051A9D7A">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3.产品验收标准；</w:t>
      </w:r>
    </w:p>
    <w:p w14:paraId="3EC1DCA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4.技术说明书及必需的其它技术资料；</w:t>
      </w:r>
    </w:p>
    <w:p w14:paraId="44C7910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5.产品安装，调试、维修线路图及原理图；</w:t>
      </w:r>
    </w:p>
    <w:p w14:paraId="34A0F0A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6.零部件目录；</w:t>
      </w:r>
    </w:p>
    <w:p w14:paraId="722C98D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7.备品备件、易损件清单；</w:t>
      </w:r>
    </w:p>
    <w:p w14:paraId="6227005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8.整体验收后提供验收报告；</w:t>
      </w:r>
    </w:p>
    <w:p w14:paraId="2C26253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9.合同中要求的其他文件资料；</w:t>
      </w:r>
    </w:p>
    <w:p w14:paraId="56BDB7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10.检定/校准报告。</w:t>
      </w:r>
    </w:p>
    <w:p w14:paraId="2D199DE7">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十二、双方的权利与义务</w:t>
      </w:r>
    </w:p>
    <w:p w14:paraId="269B202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甲方的权利与义务</w:t>
      </w:r>
    </w:p>
    <w:p w14:paraId="405F8D4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1.甲方交付的场地已经具备设备安装条件，安装时甲方予以配合。</w:t>
      </w:r>
    </w:p>
    <w:p w14:paraId="12715C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2.为乙方提供现场安装材料存放场地。</w:t>
      </w:r>
    </w:p>
    <w:p w14:paraId="0F16424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3.协调乙方在安装、验收等期间与其他相关单位的关系。</w:t>
      </w:r>
    </w:p>
    <w:p w14:paraId="19B2FB6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4.按合同规定的时间和金额向乙方支付合同款。</w:t>
      </w:r>
    </w:p>
    <w:p w14:paraId="3081DA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乙方的权利与义务</w:t>
      </w:r>
    </w:p>
    <w:p w14:paraId="43D20775">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1.按投标文件、采购合同的规定设计、制造、安装调试设备，并保证产品质量。</w:t>
      </w:r>
    </w:p>
    <w:p w14:paraId="6B9AE7D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2.按设备安装的有关规定和甲方要求，做好施工现场的安全管理。因产品生产、安装等产生的安全等一切责任，均有乙方负责。</w:t>
      </w:r>
    </w:p>
    <w:p w14:paraId="54AAED8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3.遵守国家、地方对施工现场市容环境和施工噪音的管理规定，做好施工现场的文明施工、安全保卫、防火防盗工作，确保施工顺利进行。如因违反上述相关规定产生的行政、民事等一切责任由乙方独自承担。</w:t>
      </w:r>
    </w:p>
    <w:p w14:paraId="6209079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4.在设备交付使用时，向甲方提供主要设备的合格证、设备使用说明书等资料。</w:t>
      </w:r>
    </w:p>
    <w:p w14:paraId="610F085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5.根据甲方需要，乙方免费为甲方指定的设备操作及管理人员进行培训，并提供免费咨询服务。</w:t>
      </w:r>
    </w:p>
    <w:p w14:paraId="54D59BA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6.在作业现场安装及调试过程中，乙方应积极配合项目施工总包、装饰装修等单位，完成产品的安装调试（联调）工作。</w:t>
      </w:r>
    </w:p>
    <w:p w14:paraId="134F119D">
      <w:pPr>
        <w:spacing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7.完工验收前，因运输、搬运、保管、安装等不到位致使设备损坏、质量下降等所产生的所有费用由乙方承担。</w:t>
      </w:r>
    </w:p>
    <w:p w14:paraId="39139017">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十三、质量保证</w:t>
      </w:r>
    </w:p>
    <w:p w14:paraId="5E3AF30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1143BFD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2.供应商应保证所有产品的完好无损包括配套包装，如有缺漏、损坏，由供应商负责调换、补齐或赔偿。</w:t>
      </w:r>
    </w:p>
    <w:p w14:paraId="57B99A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3.采购人使用产品过程中因产品质量、产品缺陷及安装质量等造成人身伤亡、财产损失的，由供应商负责解决并承担全部责任。</w:t>
      </w:r>
    </w:p>
    <w:p w14:paraId="6132A4CD">
      <w:pPr>
        <w:tabs>
          <w:tab w:val="left" w:pos="10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4.供应商应提供可承担维修职能的公司、全资分公司或办事处，并驻守多名维护技术人员，并提供地点、联系人（常驻工程师）及联系电话（服务热线），随时解答各种疑问（需提供相关证明材料）。</w:t>
      </w:r>
    </w:p>
    <w:p w14:paraId="0E5D12F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5.对于存在质量问题或者短少的产品，供应商应在接到采购人的通知2个日历日内负责修复，调换、重新制作或补齐。</w:t>
      </w:r>
    </w:p>
    <w:p w14:paraId="48FBB47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6.在最终验收后的质量保证期内，供应商应对设计、工艺或材料等的缺陷而产生的故障负责（负责解决并承担全部费用）。质保期满后如出现此类问题亦应负责。</w:t>
      </w:r>
    </w:p>
    <w:p w14:paraId="26BC17D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660E7C54">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8.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540EB6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质保期为一年，质保期低于生产厂家，按生产厂家质保期计算。保修期内免费保修，同一主要部件出现质量问题经过两次维修后仍无法正常使用，由乙方更换同型号、同规格的产品，服务响应时间不超过8小时，解决问题不超过24小时。</w:t>
      </w:r>
    </w:p>
    <w:p w14:paraId="0B121E7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10.乙方不在约定期限内派人维修、更换，甲方可以委托他人修理、更换，由此产生的费用从保修金中双倍扣除，不足部分，乙方还应补足。</w:t>
      </w:r>
    </w:p>
    <w:p w14:paraId="4617C95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11.乙方对其所售产品负责备品配件的供应,长期提供维修服务。</w:t>
      </w:r>
    </w:p>
    <w:p w14:paraId="76C088CB">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十四、验收</w:t>
      </w:r>
    </w:p>
    <w:p w14:paraId="257A9BD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1.初验：货物到达交货地点后，由使用单位根据合同对货物（设备）的名称、品牌、规格、型号、产地、数量进行检查。初验合格填写项目移交单，双方签字盖章。</w:t>
      </w:r>
    </w:p>
    <w:p w14:paraId="202693ED">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01381D87">
      <w:pPr>
        <w:spacing w:line="360" w:lineRule="auto"/>
        <w:rPr>
          <w:rFonts w:hint="eastAsia" w:ascii="仿宋" w:hAnsi="仿宋" w:eastAsia="仿宋" w:cs="仿宋"/>
          <w:b/>
          <w:sz w:val="24"/>
          <w:szCs w:val="24"/>
        </w:rPr>
      </w:pPr>
      <w:r>
        <w:rPr>
          <w:rFonts w:hint="eastAsia" w:ascii="仿宋" w:hAnsi="仿宋" w:eastAsia="仿宋" w:cs="仿宋"/>
          <w:b/>
          <w:sz w:val="24"/>
          <w:szCs w:val="24"/>
        </w:rPr>
        <w:t>十五、保密</w:t>
      </w:r>
    </w:p>
    <w:p w14:paraId="68C8A332">
      <w:pPr>
        <w:tabs>
          <w:tab w:val="left" w:pos="10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对工作中了解到的采购人的技术、机密等进行严格保密，不得向他人泄漏。本合同的解除或终止不免除供应商应承担的保密义务。</w:t>
      </w:r>
    </w:p>
    <w:p w14:paraId="74377EE2">
      <w:pPr>
        <w:spacing w:line="360" w:lineRule="auto"/>
        <w:rPr>
          <w:rFonts w:hint="eastAsia" w:ascii="仿宋" w:hAnsi="仿宋" w:eastAsia="仿宋" w:cs="仿宋"/>
          <w:b/>
          <w:sz w:val="24"/>
          <w:szCs w:val="24"/>
        </w:rPr>
      </w:pPr>
      <w:r>
        <w:rPr>
          <w:rFonts w:hint="eastAsia" w:ascii="仿宋" w:hAnsi="仿宋" w:eastAsia="仿宋" w:cs="仿宋"/>
          <w:b/>
          <w:sz w:val="24"/>
          <w:szCs w:val="24"/>
        </w:rPr>
        <w:t>十六、知识产权</w:t>
      </w:r>
    </w:p>
    <w:p w14:paraId="4788DBC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39577FA">
      <w:pPr>
        <w:spacing w:line="360" w:lineRule="auto"/>
        <w:rPr>
          <w:rFonts w:hint="eastAsia" w:ascii="仿宋" w:hAnsi="仿宋" w:eastAsia="仿宋" w:cs="仿宋"/>
          <w:b/>
          <w:sz w:val="24"/>
          <w:szCs w:val="24"/>
        </w:rPr>
      </w:pPr>
      <w:r>
        <w:rPr>
          <w:rFonts w:hint="eastAsia" w:ascii="仿宋" w:hAnsi="仿宋" w:eastAsia="仿宋" w:cs="仿宋"/>
          <w:b/>
          <w:sz w:val="24"/>
          <w:szCs w:val="24"/>
        </w:rPr>
        <w:t>十七、合同争议的解决</w:t>
      </w:r>
    </w:p>
    <w:p w14:paraId="1FE859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合同执行中发生争议的，当事人双方应协商解决。协商达不成一致时，向西安仲裁委员会申请仲裁。</w:t>
      </w:r>
    </w:p>
    <w:p w14:paraId="67F4AF69">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十八、不可抗力情况下的免责约定</w:t>
      </w:r>
    </w:p>
    <w:p w14:paraId="5E33875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双方约定不可抗力情况指：双方不可预见、不可避免、不可克服的客观情况，但不包括双方的违约或疏忽。这些事件包括但不限于：战争、严重火灾、洪水、台风、地震、疫情等。</w:t>
      </w:r>
    </w:p>
    <w:p w14:paraId="6076C45F">
      <w:pPr>
        <w:spacing w:line="360" w:lineRule="auto"/>
        <w:rPr>
          <w:rFonts w:hint="eastAsia" w:ascii="仿宋" w:hAnsi="仿宋" w:eastAsia="仿宋" w:cs="仿宋"/>
          <w:b/>
          <w:sz w:val="24"/>
          <w:szCs w:val="24"/>
        </w:rPr>
      </w:pPr>
      <w:r>
        <w:rPr>
          <w:rFonts w:hint="eastAsia" w:ascii="仿宋" w:hAnsi="仿宋" w:eastAsia="仿宋" w:cs="仿宋"/>
          <w:b/>
          <w:sz w:val="24"/>
          <w:szCs w:val="24"/>
        </w:rPr>
        <w:t>十九、违约责任</w:t>
      </w:r>
    </w:p>
    <w:p w14:paraId="3ECF002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4D012942">
      <w:pPr>
        <w:spacing w:line="360" w:lineRule="auto"/>
        <w:rPr>
          <w:rFonts w:hint="eastAsia" w:ascii="仿宋" w:hAnsi="仿宋" w:eastAsia="仿宋" w:cs="仿宋"/>
          <w:sz w:val="24"/>
          <w:szCs w:val="24"/>
        </w:rPr>
      </w:pPr>
      <w:r>
        <w:rPr>
          <w:rFonts w:hint="eastAsia" w:ascii="仿宋" w:hAnsi="仿宋" w:eastAsia="仿宋" w:cs="仿宋"/>
          <w:b/>
          <w:sz w:val="24"/>
          <w:szCs w:val="24"/>
        </w:rPr>
        <w:t>二十、其他（</w:t>
      </w:r>
      <w:r>
        <w:rPr>
          <w:rFonts w:hint="eastAsia" w:ascii="仿宋" w:hAnsi="仿宋" w:eastAsia="仿宋" w:cs="仿宋"/>
          <w:sz w:val="24"/>
          <w:szCs w:val="24"/>
        </w:rPr>
        <w:t>在合同中具体明确）</w:t>
      </w:r>
    </w:p>
    <w:p w14:paraId="67219863">
      <w:pPr>
        <w:spacing w:line="360" w:lineRule="auto"/>
        <w:rPr>
          <w:rFonts w:hint="eastAsia" w:ascii="仿宋" w:hAnsi="仿宋" w:eastAsia="仿宋" w:cs="仿宋"/>
          <w:b/>
          <w:sz w:val="24"/>
          <w:szCs w:val="24"/>
        </w:rPr>
      </w:pPr>
      <w:r>
        <w:rPr>
          <w:rFonts w:hint="eastAsia" w:ascii="仿宋" w:hAnsi="仿宋" w:eastAsia="仿宋" w:cs="仿宋"/>
          <w:b/>
          <w:sz w:val="24"/>
          <w:szCs w:val="24"/>
        </w:rPr>
        <w:t>二十一、监督和管理</w:t>
      </w:r>
    </w:p>
    <w:p w14:paraId="2813F3A6">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DB65411">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w:t>
      </w:r>
      <w:r>
        <w:rPr>
          <w:rFonts w:hint="eastAsia" w:ascii="仿宋" w:hAnsi="仿宋" w:eastAsia="仿宋" w:cs="仿宋"/>
          <w:sz w:val="24"/>
          <w:szCs w:val="24"/>
        </w:rPr>
        <w:t>采购人供应商</w:t>
      </w:r>
      <w:r>
        <w:rPr>
          <w:rFonts w:hint="eastAsia" w:ascii="仿宋" w:hAnsi="仿宋" w:eastAsia="仿宋" w:cs="仿宋"/>
          <w:bCs/>
          <w:sz w:val="24"/>
          <w:szCs w:val="24"/>
        </w:rPr>
        <w:t>双方均应自觉配合有关监督管理部门对合同履行情况的监督检查，如实反映情况，提供有关资料：否则，将对有关单位、当事人按照有关规定予以处罚。</w:t>
      </w:r>
    </w:p>
    <w:p w14:paraId="347EC808">
      <w:pPr>
        <w:spacing w:line="360" w:lineRule="auto"/>
        <w:rPr>
          <w:rFonts w:hint="eastAsia" w:ascii="仿宋" w:hAnsi="仿宋" w:eastAsia="仿宋" w:cs="仿宋"/>
          <w:b/>
          <w:sz w:val="24"/>
          <w:szCs w:val="24"/>
        </w:rPr>
      </w:pPr>
      <w:r>
        <w:rPr>
          <w:rFonts w:hint="eastAsia" w:ascii="仿宋" w:hAnsi="仿宋" w:eastAsia="仿宋" w:cs="仿宋"/>
          <w:b/>
          <w:sz w:val="24"/>
          <w:szCs w:val="24"/>
        </w:rPr>
        <w:t>二十二、合同订立</w:t>
      </w:r>
    </w:p>
    <w:p w14:paraId="5B97AD37">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1.订立时间：</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日。</w:t>
      </w:r>
    </w:p>
    <w:p w14:paraId="103275B9">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2.订立地点：</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w:t>
      </w:r>
    </w:p>
    <w:p w14:paraId="47740C1B">
      <w:pPr>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3.本合同一式</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份，具有同等法律效力，双方各执</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份采购。各方签字盖章后生效，</w:t>
      </w:r>
      <w:r>
        <w:rPr>
          <w:rFonts w:hint="eastAsia" w:ascii="仿宋" w:hAnsi="仿宋" w:eastAsia="仿宋" w:cs="仿宋"/>
          <w:sz w:val="24"/>
          <w:szCs w:val="24"/>
        </w:rPr>
        <w:t>合同执行完毕自动失效。（合同的服务承诺则长期有效）。</w:t>
      </w:r>
    </w:p>
    <w:p w14:paraId="723739E5">
      <w:pPr>
        <w:adjustRightInd w:val="0"/>
        <w:snapToGrid w:val="0"/>
        <w:spacing w:line="360" w:lineRule="auto"/>
        <w:rPr>
          <w:rFonts w:hint="eastAsia" w:ascii="仿宋" w:hAnsi="仿宋" w:eastAsia="仿宋" w:cs="仿宋"/>
          <w:sz w:val="24"/>
          <w:szCs w:val="24"/>
        </w:rPr>
        <w:sectPr>
          <w:headerReference r:id="rId3" w:type="default"/>
          <w:footerReference r:id="rId4" w:type="default"/>
          <w:pgSz w:w="11906" w:h="16838"/>
          <w:pgMar w:top="1418" w:right="1134" w:bottom="1418" w:left="1418" w:header="1134" w:footer="992" w:gutter="0"/>
          <w:cols w:space="720" w:num="1"/>
          <w:docGrid w:type="lines" w:linePitch="312" w:charSpace="0"/>
        </w:sect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D9EE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4261" w:type="dxa"/>
            <w:vAlign w:val="top"/>
          </w:tcPr>
          <w:p w14:paraId="2DB7D4E9">
            <w:pPr>
              <w:pStyle w:val="2"/>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360" w:lineRule="auto"/>
              <w:ind w:left="0" w:right="0"/>
              <w:jc w:val="left"/>
              <w:textAlignment w:val="auto"/>
              <w:rPr>
                <w:rFonts w:hint="eastAsia" w:ascii="仿宋" w:hAnsi="仿宋" w:eastAsia="仿宋" w:cs="仿宋"/>
                <w:sz w:val="24"/>
                <w:szCs w:val="24"/>
                <w:vertAlign w:val="baseline"/>
              </w:rPr>
            </w:pPr>
            <w:r>
              <w:rPr>
                <w:rFonts w:hint="eastAsia" w:ascii="仿宋" w:hAnsi="仿宋" w:eastAsia="仿宋" w:cs="仿宋"/>
                <w:sz w:val="24"/>
                <w:szCs w:val="24"/>
              </w:rPr>
              <w:t>采购人：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（盖章）</w:t>
            </w:r>
          </w:p>
        </w:tc>
        <w:tc>
          <w:tcPr>
            <w:tcW w:w="4261" w:type="dxa"/>
            <w:shd w:val="clear" w:color="auto" w:fill="auto"/>
            <w:vAlign w:val="top"/>
          </w:tcPr>
          <w:p w14:paraId="0B09447A">
            <w:pPr>
              <w:pStyle w:val="2"/>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360" w:lineRule="auto"/>
              <w:ind w:left="0" w:leftChars="0" w:right="0" w:rightChars="0"/>
              <w:jc w:val="left"/>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（盖章）</w:t>
            </w:r>
          </w:p>
        </w:tc>
      </w:tr>
      <w:tr w14:paraId="66D40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6B65ECB7">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地址：</w:t>
            </w:r>
          </w:p>
        </w:tc>
        <w:tc>
          <w:tcPr>
            <w:tcW w:w="4261" w:type="dxa"/>
          </w:tcPr>
          <w:p w14:paraId="6403F69E">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地址：</w:t>
            </w:r>
          </w:p>
        </w:tc>
      </w:tr>
      <w:tr w14:paraId="2D48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685DF0A6">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邮政编码：</w:t>
            </w:r>
          </w:p>
        </w:tc>
        <w:tc>
          <w:tcPr>
            <w:tcW w:w="4261" w:type="dxa"/>
          </w:tcPr>
          <w:p w14:paraId="5CDBE57B">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邮政编码：</w:t>
            </w:r>
          </w:p>
        </w:tc>
      </w:tr>
      <w:tr w14:paraId="29513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4261" w:type="dxa"/>
          </w:tcPr>
          <w:p w14:paraId="69E47549">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法定代表人或</w:t>
            </w:r>
          </w:p>
          <w:p w14:paraId="2BAC4025">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其授权的代理人：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（签字</w:t>
            </w:r>
            <w:r>
              <w:rPr>
                <w:rFonts w:hint="eastAsia" w:ascii="仿宋" w:hAnsi="仿宋" w:eastAsia="仿宋" w:cs="仿宋"/>
                <w:sz w:val="24"/>
                <w:szCs w:val="24"/>
                <w:u w:val="single"/>
                <w:lang w:val="en-US" w:eastAsia="zh-CN"/>
              </w:rPr>
              <w:t>或盖章</w:t>
            </w:r>
            <w:r>
              <w:rPr>
                <w:rFonts w:hint="eastAsia" w:ascii="仿宋" w:hAnsi="仿宋" w:eastAsia="仿宋" w:cs="仿宋"/>
                <w:sz w:val="24"/>
                <w:szCs w:val="24"/>
                <w:u w:val="single"/>
              </w:rPr>
              <w:t>）</w:t>
            </w:r>
          </w:p>
        </w:tc>
        <w:tc>
          <w:tcPr>
            <w:tcW w:w="4261" w:type="dxa"/>
          </w:tcPr>
          <w:p w14:paraId="078D46BE">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法定代表人或</w:t>
            </w:r>
          </w:p>
          <w:p w14:paraId="6EEB6A04">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其授权的代理人：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（签字</w:t>
            </w:r>
            <w:r>
              <w:rPr>
                <w:rFonts w:hint="eastAsia" w:ascii="仿宋" w:hAnsi="仿宋" w:eastAsia="仿宋" w:cs="仿宋"/>
                <w:sz w:val="24"/>
                <w:szCs w:val="24"/>
                <w:u w:val="single"/>
                <w:lang w:val="en-US" w:eastAsia="zh-CN"/>
              </w:rPr>
              <w:t>或盖章</w:t>
            </w:r>
            <w:r>
              <w:rPr>
                <w:rFonts w:hint="eastAsia" w:ascii="仿宋" w:hAnsi="仿宋" w:eastAsia="仿宋" w:cs="仿宋"/>
                <w:sz w:val="24"/>
                <w:szCs w:val="24"/>
                <w:u w:val="single"/>
              </w:rPr>
              <w:t>）</w:t>
            </w:r>
          </w:p>
        </w:tc>
      </w:tr>
      <w:tr w14:paraId="45145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4963DB50">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开户银行：</w:t>
            </w:r>
          </w:p>
        </w:tc>
        <w:tc>
          <w:tcPr>
            <w:tcW w:w="4261" w:type="dxa"/>
          </w:tcPr>
          <w:p w14:paraId="6E288B0F">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开户银行：</w:t>
            </w:r>
          </w:p>
        </w:tc>
      </w:tr>
      <w:tr w14:paraId="5416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697968B7">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账号：</w:t>
            </w:r>
          </w:p>
        </w:tc>
        <w:tc>
          <w:tcPr>
            <w:tcW w:w="4261" w:type="dxa"/>
          </w:tcPr>
          <w:p w14:paraId="36643792">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账号：</w:t>
            </w:r>
          </w:p>
        </w:tc>
      </w:tr>
      <w:tr w14:paraId="6D57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5BAF0907">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电话：</w:t>
            </w:r>
          </w:p>
        </w:tc>
        <w:tc>
          <w:tcPr>
            <w:tcW w:w="4261" w:type="dxa"/>
          </w:tcPr>
          <w:p w14:paraId="3DE180D7">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电话：</w:t>
            </w:r>
          </w:p>
        </w:tc>
      </w:tr>
      <w:tr w14:paraId="4C20A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194EB44A">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传真：</w:t>
            </w:r>
          </w:p>
        </w:tc>
        <w:tc>
          <w:tcPr>
            <w:tcW w:w="4261" w:type="dxa"/>
          </w:tcPr>
          <w:p w14:paraId="1577106F">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传真：</w:t>
            </w:r>
          </w:p>
        </w:tc>
      </w:tr>
      <w:tr w14:paraId="0ADC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61" w:type="dxa"/>
          </w:tcPr>
          <w:p w14:paraId="4754D583">
            <w:pPr>
              <w:keepNext w:val="0"/>
              <w:keepLines w:val="0"/>
              <w:suppressLineNumbers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电子邮箱：</w:t>
            </w:r>
          </w:p>
        </w:tc>
        <w:tc>
          <w:tcPr>
            <w:tcW w:w="4261" w:type="dxa"/>
          </w:tcPr>
          <w:p w14:paraId="116B5015">
            <w:pPr>
              <w:keepNext w:val="0"/>
              <w:keepLines w:val="0"/>
              <w:suppressLineNumbers w:val="0"/>
              <w:adjustRightInd w:val="0"/>
              <w:snapToGrid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电子邮箱：</w:t>
            </w:r>
          </w:p>
        </w:tc>
      </w:tr>
    </w:tbl>
    <w:p w14:paraId="0226227B">
      <w:pPr>
        <w:spacing w:line="360" w:lineRule="auto"/>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AE0C">
    <w:pPr>
      <w:tabs>
        <w:tab w:val="left" w:pos="5646"/>
      </w:tabs>
      <w:rPr>
        <w:rFonts w:hint="eastAsia"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C2703">
                          <w:pPr>
                            <w:pStyle w:val="3"/>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3C2703">
                    <w:pPr>
                      <w:pStyle w:val="3"/>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A334">
    <w:pPr>
      <w:jc w:val="left"/>
      <w:rPr>
        <w:rFonts w:hint="eastAsia" w:ascii="楷体" w:hAnsi="楷体" w:eastAsia="楷体" w:cs="楷体"/>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50A39"/>
    <w:rsid w:val="01CC5EE4"/>
    <w:rsid w:val="0609003F"/>
    <w:rsid w:val="0A024A47"/>
    <w:rsid w:val="12943D8A"/>
    <w:rsid w:val="211C1233"/>
    <w:rsid w:val="2125342D"/>
    <w:rsid w:val="265956E8"/>
    <w:rsid w:val="3EE07CBF"/>
    <w:rsid w:val="51E97071"/>
    <w:rsid w:val="54F50A39"/>
    <w:rsid w:val="62EA1BA9"/>
    <w:rsid w:val="66C37A39"/>
    <w:rsid w:val="67173028"/>
    <w:rsid w:val="74295AFA"/>
    <w:rsid w:val="78EB5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footer"/>
    <w:basedOn w:val="1"/>
    <w:qFormat/>
    <w:uiPriority w:val="99"/>
    <w:pPr>
      <w:tabs>
        <w:tab w:val="center" w:pos="4153"/>
        <w:tab w:val="right" w:pos="8306"/>
      </w:tabs>
      <w:snapToGrid w:val="0"/>
      <w:jc w:val="left"/>
    </w:pPr>
    <w:rPr>
      <w:rFonts w:ascii="Times New Roman"/>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4097</Words>
  <Characters>4176</Characters>
  <Lines>0</Lines>
  <Paragraphs>0</Paragraphs>
  <TotalTime>3</TotalTime>
  <ScaleCrop>false</ScaleCrop>
  <LinksUpToDate>false</LinksUpToDate>
  <CharactersWithSpaces>4335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2026-06-10T02:02:00Z</dcterms:created>
  <dc:creator>MY WAY、</dc:creator>
  <cp:lastModifiedBy>陈普 </cp:lastModifiedBy>
  <dcterms:modified xsi:type="dcterms:W3CDTF">2026-06-12T03:33:42Z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DAC4EA982CCC4E6E95222D265562DB78_13</vt:lpwstr>
  </property>
  <property fmtid="{D5CDD505-2E9C-101B-9397-08002B2CF9AE}" pid="4" name="KSOTemplateDocerSaveRecord">
    <vt:lpwstr>eyJoZGlkIjoiMDcyYWQwMjI4ODFjZjFjN2U5YmVmMTQ4NWMzMzJmZjYiLCJ1c2VySWQiOiIyNDEwMzg4MDEifQ==</vt:lpwstr>
  </property>
</Properties>
</file>