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FE4DD81">
      <w:pPr>
        <w:adjustRightInd w:val="0"/>
        <w:snapToGrid w:val="0"/>
        <w:jc w:val="center"/>
        <w:rPr>
          <w:rFonts w:ascii="宋体" w:hAnsi="宋体" w:cs="宋体"/>
          <w:sz w:val="36"/>
          <w:szCs w:val="36"/>
        </w:rPr>
      </w:pPr>
      <w:r>
        <w:rPr>
          <w:rFonts w:hint="eastAsia" w:ascii="宋体" w:hAnsi="宋体" w:cs="宋体"/>
          <w:sz w:val="36"/>
          <w:szCs w:val="36"/>
        </w:rPr>
        <w:t>仪器设备类采购合同示范文本</w:t>
      </w:r>
    </w:p>
    <w:p w14:paraId="7351A689">
      <w:pPr>
        <w:spacing w:line="480" w:lineRule="exact"/>
        <w:ind w:firstLine="480" w:firstLineChars="200"/>
        <w:rPr>
          <w:rFonts w:ascii="宋体" w:hAnsi="宋体" w:cs="宋体"/>
          <w:sz w:val="24"/>
          <w:szCs w:val="22"/>
        </w:rPr>
      </w:pPr>
    </w:p>
    <w:p w14:paraId="512932AF">
      <w:pPr>
        <w:spacing w:line="480" w:lineRule="exact"/>
        <w:ind w:firstLine="480" w:firstLineChars="200"/>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西安建筑科技大学   </w:t>
      </w:r>
    </w:p>
    <w:p w14:paraId="5DE9DCDA">
      <w:pPr>
        <w:spacing w:line="480" w:lineRule="exact"/>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2532E1D9">
      <w:pPr>
        <w:spacing w:line="480" w:lineRule="exact"/>
        <w:ind w:firstLine="480" w:firstLineChars="200"/>
        <w:rPr>
          <w:rFonts w:ascii="宋体" w:hAnsi="宋体" w:cs="宋体"/>
          <w:sz w:val="24"/>
          <w:szCs w:val="22"/>
        </w:rPr>
      </w:pPr>
    </w:p>
    <w:p w14:paraId="0D995A1A">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依据《中华人民共和国政府采购法》《中华人民共和国民法典》等相关法律法规，以及</w:t>
      </w:r>
      <w:r>
        <w:rPr>
          <w:rFonts w:hint="eastAsia" w:ascii="宋体" w:hAnsi="宋体" w:cs="宋体"/>
          <w:kern w:val="0"/>
          <w:sz w:val="24"/>
          <w:szCs w:val="24"/>
          <w:u w:val="single"/>
        </w:rPr>
        <w:t xml:space="preserve">                 </w:t>
      </w:r>
      <w:r>
        <w:rPr>
          <w:rFonts w:hint="eastAsia" w:ascii="宋体" w:hAnsi="宋体" w:cs="宋体"/>
          <w:kern w:val="0"/>
          <w:sz w:val="24"/>
          <w:szCs w:val="24"/>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5B45F173">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一、合同标的</w:t>
      </w:r>
    </w:p>
    <w:p w14:paraId="21247C64">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65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2033C199">
            <w:pPr>
              <w:spacing w:line="360" w:lineRule="auto"/>
              <w:jc w:val="center"/>
              <w:rPr>
                <w:rFonts w:ascii="宋体" w:hAnsi="宋体" w:cs="宋体"/>
                <w:b/>
              </w:rPr>
            </w:pPr>
            <w:r>
              <w:rPr>
                <w:rFonts w:hint="eastAsia" w:ascii="宋体" w:hAnsi="宋体" w:cs="宋体"/>
                <w:b/>
              </w:rPr>
              <w:t>序号</w:t>
            </w:r>
          </w:p>
        </w:tc>
        <w:tc>
          <w:tcPr>
            <w:tcW w:w="1805" w:type="dxa"/>
            <w:noWrap/>
            <w:tcMar>
              <w:top w:w="20" w:type="dxa"/>
              <w:left w:w="20" w:type="dxa"/>
              <w:bottom w:w="0" w:type="dxa"/>
              <w:right w:w="20" w:type="dxa"/>
            </w:tcMar>
            <w:vAlign w:val="center"/>
          </w:tcPr>
          <w:p w14:paraId="4E26E8AD">
            <w:pPr>
              <w:spacing w:line="360" w:lineRule="auto"/>
              <w:jc w:val="center"/>
              <w:rPr>
                <w:rFonts w:ascii="宋体" w:hAnsi="宋体" w:cs="宋体"/>
                <w:b/>
              </w:rPr>
            </w:pPr>
            <w:r>
              <w:rPr>
                <w:rFonts w:hint="eastAsia" w:ascii="宋体" w:hAnsi="宋体" w:cs="宋体"/>
                <w:b/>
              </w:rPr>
              <w:t>设备名称</w:t>
            </w:r>
          </w:p>
        </w:tc>
        <w:tc>
          <w:tcPr>
            <w:tcW w:w="1980" w:type="dxa"/>
            <w:noWrap/>
            <w:tcMar>
              <w:top w:w="20" w:type="dxa"/>
              <w:left w:w="20" w:type="dxa"/>
              <w:bottom w:w="0" w:type="dxa"/>
              <w:right w:w="20" w:type="dxa"/>
            </w:tcMar>
            <w:vAlign w:val="center"/>
          </w:tcPr>
          <w:p w14:paraId="2DDB5DE4">
            <w:pPr>
              <w:spacing w:line="360" w:lineRule="auto"/>
              <w:jc w:val="center"/>
              <w:rPr>
                <w:rFonts w:ascii="宋体" w:hAnsi="宋体" w:cs="宋体"/>
                <w:b/>
              </w:rPr>
            </w:pPr>
            <w:r>
              <w:rPr>
                <w:rFonts w:hint="eastAsia" w:ascii="宋体" w:hAnsi="宋体" w:cs="宋体"/>
                <w:b/>
              </w:rPr>
              <w:t>品牌、规格、型号</w:t>
            </w:r>
          </w:p>
        </w:tc>
        <w:tc>
          <w:tcPr>
            <w:tcW w:w="886" w:type="dxa"/>
            <w:noWrap/>
            <w:tcMar>
              <w:top w:w="20" w:type="dxa"/>
              <w:left w:w="20" w:type="dxa"/>
              <w:bottom w:w="0" w:type="dxa"/>
              <w:right w:w="20" w:type="dxa"/>
            </w:tcMar>
            <w:vAlign w:val="center"/>
          </w:tcPr>
          <w:p w14:paraId="1B54C57E">
            <w:pPr>
              <w:spacing w:line="360" w:lineRule="auto"/>
              <w:jc w:val="center"/>
              <w:rPr>
                <w:rFonts w:ascii="宋体" w:hAnsi="宋体" w:cs="宋体"/>
                <w:b/>
              </w:rPr>
            </w:pPr>
            <w:r>
              <w:rPr>
                <w:rFonts w:hint="eastAsia" w:ascii="宋体" w:hAnsi="宋体" w:cs="宋体"/>
                <w:b/>
              </w:rPr>
              <w:t>数量</w:t>
            </w:r>
          </w:p>
          <w:p w14:paraId="7B8D283C">
            <w:pPr>
              <w:spacing w:line="360" w:lineRule="auto"/>
              <w:jc w:val="center"/>
              <w:rPr>
                <w:rFonts w:ascii="宋体" w:hAnsi="宋体" w:cs="宋体"/>
                <w:b/>
              </w:rPr>
            </w:pPr>
            <w:r>
              <w:rPr>
                <w:rFonts w:hint="eastAsia" w:ascii="宋体" w:hAnsi="宋体" w:cs="宋体"/>
                <w:b/>
              </w:rPr>
              <w:t>（台、套）</w:t>
            </w:r>
          </w:p>
        </w:tc>
        <w:tc>
          <w:tcPr>
            <w:tcW w:w="985" w:type="dxa"/>
            <w:noWrap/>
            <w:tcMar>
              <w:top w:w="20" w:type="dxa"/>
              <w:left w:w="20" w:type="dxa"/>
              <w:bottom w:w="0" w:type="dxa"/>
              <w:right w:w="20" w:type="dxa"/>
            </w:tcMar>
            <w:vAlign w:val="center"/>
          </w:tcPr>
          <w:p w14:paraId="0E255FE0">
            <w:pPr>
              <w:spacing w:line="360" w:lineRule="auto"/>
              <w:jc w:val="center"/>
              <w:rPr>
                <w:rFonts w:ascii="宋体" w:hAnsi="宋体" w:cs="宋体"/>
                <w:b/>
              </w:rPr>
            </w:pPr>
            <w:r>
              <w:rPr>
                <w:rFonts w:hint="eastAsia" w:ascii="宋体" w:hAnsi="宋体" w:cs="宋体"/>
                <w:b/>
              </w:rPr>
              <w:t>单价</w:t>
            </w:r>
          </w:p>
          <w:p w14:paraId="7357846C">
            <w:pPr>
              <w:spacing w:line="360" w:lineRule="auto"/>
              <w:jc w:val="center"/>
              <w:rPr>
                <w:rFonts w:ascii="宋体" w:hAnsi="宋体" w:cs="宋体"/>
                <w:b/>
              </w:rPr>
            </w:pPr>
            <w:r>
              <w:rPr>
                <w:rFonts w:hint="eastAsia" w:ascii="宋体" w:hAnsi="宋体" w:cs="宋体"/>
                <w:b/>
              </w:rPr>
              <w:t>(万元)</w:t>
            </w:r>
          </w:p>
        </w:tc>
        <w:tc>
          <w:tcPr>
            <w:tcW w:w="984" w:type="dxa"/>
            <w:noWrap/>
            <w:tcMar>
              <w:top w:w="20" w:type="dxa"/>
              <w:left w:w="20" w:type="dxa"/>
              <w:bottom w:w="0" w:type="dxa"/>
              <w:right w:w="20" w:type="dxa"/>
            </w:tcMar>
            <w:vAlign w:val="center"/>
          </w:tcPr>
          <w:p w14:paraId="5BBC771A">
            <w:pPr>
              <w:spacing w:line="360" w:lineRule="auto"/>
              <w:jc w:val="center"/>
              <w:rPr>
                <w:rFonts w:ascii="宋体" w:hAnsi="宋体" w:cs="宋体"/>
                <w:b/>
              </w:rPr>
            </w:pPr>
            <w:r>
              <w:rPr>
                <w:rFonts w:hint="eastAsia" w:ascii="宋体" w:hAnsi="宋体" w:cs="宋体"/>
                <w:b/>
              </w:rPr>
              <w:t>合计</w:t>
            </w:r>
          </w:p>
          <w:p w14:paraId="75EBB271">
            <w:pPr>
              <w:spacing w:line="360" w:lineRule="auto"/>
              <w:jc w:val="center"/>
              <w:rPr>
                <w:rFonts w:ascii="宋体" w:hAnsi="宋体" w:cs="宋体"/>
                <w:b/>
              </w:rPr>
            </w:pPr>
            <w:r>
              <w:rPr>
                <w:rFonts w:hint="eastAsia" w:ascii="宋体" w:hAnsi="宋体" w:cs="宋体"/>
                <w:b/>
              </w:rPr>
              <w:t>（万元）</w:t>
            </w:r>
          </w:p>
        </w:tc>
        <w:tc>
          <w:tcPr>
            <w:tcW w:w="978" w:type="dxa"/>
            <w:noWrap/>
            <w:vAlign w:val="center"/>
          </w:tcPr>
          <w:p w14:paraId="33FA72B9">
            <w:pPr>
              <w:spacing w:line="360" w:lineRule="auto"/>
              <w:jc w:val="center"/>
              <w:rPr>
                <w:rFonts w:ascii="宋体" w:hAnsi="宋体" w:cs="宋体"/>
                <w:b/>
              </w:rPr>
            </w:pPr>
            <w:r>
              <w:rPr>
                <w:rFonts w:hint="eastAsia" w:ascii="宋体" w:hAnsi="宋体" w:cs="宋体"/>
                <w:b/>
              </w:rPr>
              <w:t>生产商</w:t>
            </w:r>
          </w:p>
        </w:tc>
        <w:tc>
          <w:tcPr>
            <w:tcW w:w="580" w:type="dxa"/>
            <w:noWrap/>
            <w:tcMar>
              <w:top w:w="20" w:type="dxa"/>
              <w:left w:w="20" w:type="dxa"/>
              <w:bottom w:w="0" w:type="dxa"/>
              <w:right w:w="20" w:type="dxa"/>
            </w:tcMar>
            <w:vAlign w:val="center"/>
          </w:tcPr>
          <w:p w14:paraId="25CEF9B8">
            <w:pPr>
              <w:spacing w:line="360" w:lineRule="auto"/>
              <w:jc w:val="center"/>
              <w:rPr>
                <w:rFonts w:ascii="宋体" w:hAnsi="宋体" w:cs="宋体"/>
                <w:b/>
              </w:rPr>
            </w:pPr>
            <w:r>
              <w:rPr>
                <w:rFonts w:hint="eastAsia" w:ascii="宋体" w:hAnsi="宋体" w:cs="宋体"/>
                <w:b/>
              </w:rPr>
              <w:t>备注</w:t>
            </w:r>
          </w:p>
        </w:tc>
      </w:tr>
      <w:tr w14:paraId="69EA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2E0B4B03">
            <w:pPr>
              <w:spacing w:line="360" w:lineRule="auto"/>
              <w:jc w:val="center"/>
              <w:rPr>
                <w:rFonts w:ascii="宋体" w:hAnsi="宋体" w:cs="宋体"/>
              </w:rPr>
            </w:pPr>
            <w:r>
              <w:rPr>
                <w:rFonts w:hint="eastAsia" w:ascii="宋体" w:hAnsi="宋体" w:cs="宋体"/>
              </w:rPr>
              <w:t>1</w:t>
            </w:r>
          </w:p>
        </w:tc>
        <w:tc>
          <w:tcPr>
            <w:tcW w:w="1805" w:type="dxa"/>
            <w:noWrap/>
            <w:tcMar>
              <w:top w:w="20" w:type="dxa"/>
              <w:left w:w="20" w:type="dxa"/>
              <w:bottom w:w="0" w:type="dxa"/>
              <w:right w:w="20" w:type="dxa"/>
            </w:tcMar>
            <w:vAlign w:val="center"/>
          </w:tcPr>
          <w:p w14:paraId="1D97D6C7">
            <w:pPr>
              <w:spacing w:line="360" w:lineRule="auto"/>
              <w:jc w:val="center"/>
              <w:rPr>
                <w:rFonts w:ascii="宋体" w:hAnsi="宋体" w:cs="宋体"/>
              </w:rPr>
            </w:pPr>
          </w:p>
        </w:tc>
        <w:tc>
          <w:tcPr>
            <w:tcW w:w="1980" w:type="dxa"/>
            <w:noWrap/>
            <w:tcMar>
              <w:top w:w="20" w:type="dxa"/>
              <w:left w:w="20" w:type="dxa"/>
              <w:bottom w:w="0" w:type="dxa"/>
              <w:right w:w="20" w:type="dxa"/>
            </w:tcMar>
            <w:vAlign w:val="center"/>
          </w:tcPr>
          <w:p w14:paraId="6C71E2AD">
            <w:pPr>
              <w:spacing w:line="360" w:lineRule="auto"/>
              <w:jc w:val="center"/>
              <w:rPr>
                <w:rFonts w:ascii="宋体" w:hAnsi="宋体" w:cs="宋体"/>
              </w:rPr>
            </w:pPr>
          </w:p>
        </w:tc>
        <w:tc>
          <w:tcPr>
            <w:tcW w:w="886" w:type="dxa"/>
            <w:noWrap/>
            <w:tcMar>
              <w:top w:w="20" w:type="dxa"/>
              <w:left w:w="20" w:type="dxa"/>
              <w:bottom w:w="0" w:type="dxa"/>
              <w:right w:w="20" w:type="dxa"/>
            </w:tcMar>
            <w:vAlign w:val="center"/>
          </w:tcPr>
          <w:p w14:paraId="443B346E">
            <w:pPr>
              <w:spacing w:line="360" w:lineRule="auto"/>
              <w:jc w:val="center"/>
              <w:rPr>
                <w:rFonts w:ascii="宋体" w:hAnsi="宋体" w:cs="宋体"/>
              </w:rPr>
            </w:pPr>
          </w:p>
        </w:tc>
        <w:tc>
          <w:tcPr>
            <w:tcW w:w="985" w:type="dxa"/>
            <w:noWrap/>
            <w:tcMar>
              <w:top w:w="20" w:type="dxa"/>
              <w:left w:w="20" w:type="dxa"/>
              <w:bottom w:w="0" w:type="dxa"/>
              <w:right w:w="20" w:type="dxa"/>
            </w:tcMar>
            <w:vAlign w:val="center"/>
          </w:tcPr>
          <w:p w14:paraId="479B18A4">
            <w:pPr>
              <w:spacing w:line="360" w:lineRule="auto"/>
              <w:jc w:val="center"/>
              <w:rPr>
                <w:rFonts w:ascii="宋体" w:hAnsi="宋体" w:cs="宋体"/>
              </w:rPr>
            </w:pPr>
          </w:p>
        </w:tc>
        <w:tc>
          <w:tcPr>
            <w:tcW w:w="984" w:type="dxa"/>
            <w:noWrap/>
            <w:tcMar>
              <w:top w:w="20" w:type="dxa"/>
              <w:left w:w="20" w:type="dxa"/>
              <w:bottom w:w="0" w:type="dxa"/>
              <w:right w:w="20" w:type="dxa"/>
            </w:tcMar>
            <w:vAlign w:val="center"/>
          </w:tcPr>
          <w:p w14:paraId="4FD0531E">
            <w:pPr>
              <w:spacing w:line="360" w:lineRule="auto"/>
              <w:jc w:val="center"/>
              <w:rPr>
                <w:rFonts w:ascii="宋体" w:hAnsi="宋体" w:cs="宋体"/>
              </w:rPr>
            </w:pPr>
          </w:p>
        </w:tc>
        <w:tc>
          <w:tcPr>
            <w:tcW w:w="978" w:type="dxa"/>
            <w:noWrap/>
            <w:vAlign w:val="center"/>
          </w:tcPr>
          <w:p w14:paraId="7C42AFBD">
            <w:pPr>
              <w:spacing w:line="360" w:lineRule="auto"/>
              <w:jc w:val="center"/>
              <w:rPr>
                <w:rFonts w:ascii="宋体" w:hAnsi="宋体" w:cs="宋体"/>
              </w:rPr>
            </w:pPr>
          </w:p>
        </w:tc>
        <w:tc>
          <w:tcPr>
            <w:tcW w:w="580" w:type="dxa"/>
            <w:noWrap/>
            <w:tcMar>
              <w:top w:w="20" w:type="dxa"/>
              <w:left w:w="20" w:type="dxa"/>
              <w:bottom w:w="0" w:type="dxa"/>
              <w:right w:w="20" w:type="dxa"/>
            </w:tcMar>
            <w:vAlign w:val="center"/>
          </w:tcPr>
          <w:p w14:paraId="1576E311">
            <w:pPr>
              <w:spacing w:line="360" w:lineRule="auto"/>
              <w:jc w:val="center"/>
              <w:rPr>
                <w:rFonts w:ascii="宋体" w:hAnsi="宋体" w:cs="宋体"/>
              </w:rPr>
            </w:pPr>
          </w:p>
        </w:tc>
      </w:tr>
      <w:tr w14:paraId="3AEB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2F7FE660">
            <w:pPr>
              <w:spacing w:line="360" w:lineRule="auto"/>
              <w:jc w:val="center"/>
              <w:rPr>
                <w:rFonts w:ascii="宋体" w:hAnsi="宋体" w:cs="宋体"/>
              </w:rPr>
            </w:pPr>
            <w:r>
              <w:rPr>
                <w:rFonts w:hint="eastAsia" w:ascii="宋体" w:hAnsi="宋体" w:cs="宋体"/>
              </w:rPr>
              <w:t>2</w:t>
            </w:r>
          </w:p>
        </w:tc>
        <w:tc>
          <w:tcPr>
            <w:tcW w:w="1805" w:type="dxa"/>
            <w:noWrap/>
            <w:tcMar>
              <w:top w:w="20" w:type="dxa"/>
              <w:left w:w="20" w:type="dxa"/>
              <w:bottom w:w="0" w:type="dxa"/>
              <w:right w:w="20" w:type="dxa"/>
            </w:tcMar>
            <w:vAlign w:val="center"/>
          </w:tcPr>
          <w:p w14:paraId="2B3110F6">
            <w:pPr>
              <w:spacing w:line="360" w:lineRule="auto"/>
              <w:jc w:val="center"/>
              <w:rPr>
                <w:rFonts w:ascii="宋体" w:hAnsi="宋体" w:cs="宋体"/>
              </w:rPr>
            </w:pPr>
          </w:p>
        </w:tc>
        <w:tc>
          <w:tcPr>
            <w:tcW w:w="1980" w:type="dxa"/>
            <w:noWrap/>
            <w:tcMar>
              <w:top w:w="20" w:type="dxa"/>
              <w:left w:w="20" w:type="dxa"/>
              <w:bottom w:w="0" w:type="dxa"/>
              <w:right w:w="20" w:type="dxa"/>
            </w:tcMar>
            <w:vAlign w:val="center"/>
          </w:tcPr>
          <w:p w14:paraId="1AEB202F">
            <w:pPr>
              <w:spacing w:line="360" w:lineRule="auto"/>
              <w:jc w:val="center"/>
              <w:rPr>
                <w:rFonts w:ascii="宋体" w:hAnsi="宋体" w:cs="宋体"/>
              </w:rPr>
            </w:pPr>
          </w:p>
        </w:tc>
        <w:tc>
          <w:tcPr>
            <w:tcW w:w="886" w:type="dxa"/>
            <w:noWrap/>
            <w:tcMar>
              <w:top w:w="20" w:type="dxa"/>
              <w:left w:w="20" w:type="dxa"/>
              <w:bottom w:w="0" w:type="dxa"/>
              <w:right w:w="20" w:type="dxa"/>
            </w:tcMar>
            <w:vAlign w:val="center"/>
          </w:tcPr>
          <w:p w14:paraId="20D570C0">
            <w:pPr>
              <w:spacing w:line="360" w:lineRule="auto"/>
              <w:jc w:val="center"/>
              <w:rPr>
                <w:rFonts w:ascii="宋体" w:hAnsi="宋体" w:cs="宋体"/>
              </w:rPr>
            </w:pPr>
          </w:p>
        </w:tc>
        <w:tc>
          <w:tcPr>
            <w:tcW w:w="985" w:type="dxa"/>
            <w:noWrap/>
            <w:tcMar>
              <w:top w:w="20" w:type="dxa"/>
              <w:left w:w="20" w:type="dxa"/>
              <w:bottom w:w="0" w:type="dxa"/>
              <w:right w:w="20" w:type="dxa"/>
            </w:tcMar>
            <w:vAlign w:val="center"/>
          </w:tcPr>
          <w:p w14:paraId="32444817">
            <w:pPr>
              <w:spacing w:line="360" w:lineRule="auto"/>
              <w:jc w:val="center"/>
              <w:rPr>
                <w:rFonts w:ascii="宋体" w:hAnsi="宋体" w:cs="宋体"/>
              </w:rPr>
            </w:pPr>
          </w:p>
        </w:tc>
        <w:tc>
          <w:tcPr>
            <w:tcW w:w="984" w:type="dxa"/>
            <w:noWrap/>
            <w:tcMar>
              <w:top w:w="20" w:type="dxa"/>
              <w:left w:w="20" w:type="dxa"/>
              <w:bottom w:w="0" w:type="dxa"/>
              <w:right w:w="20" w:type="dxa"/>
            </w:tcMar>
            <w:vAlign w:val="center"/>
          </w:tcPr>
          <w:p w14:paraId="5D51E4A0">
            <w:pPr>
              <w:spacing w:line="360" w:lineRule="auto"/>
              <w:jc w:val="center"/>
              <w:rPr>
                <w:rFonts w:ascii="宋体" w:hAnsi="宋体" w:cs="宋体"/>
              </w:rPr>
            </w:pPr>
          </w:p>
        </w:tc>
        <w:tc>
          <w:tcPr>
            <w:tcW w:w="978" w:type="dxa"/>
            <w:noWrap/>
            <w:vAlign w:val="center"/>
          </w:tcPr>
          <w:p w14:paraId="66A554EF">
            <w:pPr>
              <w:spacing w:line="360" w:lineRule="auto"/>
              <w:jc w:val="center"/>
              <w:rPr>
                <w:rFonts w:ascii="宋体" w:hAnsi="宋体" w:cs="宋体"/>
                <w:kern w:val="0"/>
              </w:rPr>
            </w:pPr>
          </w:p>
        </w:tc>
        <w:tc>
          <w:tcPr>
            <w:tcW w:w="580" w:type="dxa"/>
            <w:noWrap/>
            <w:tcMar>
              <w:top w:w="20" w:type="dxa"/>
              <w:left w:w="20" w:type="dxa"/>
              <w:bottom w:w="0" w:type="dxa"/>
              <w:right w:w="20" w:type="dxa"/>
            </w:tcMar>
            <w:vAlign w:val="center"/>
          </w:tcPr>
          <w:p w14:paraId="352B07C3">
            <w:pPr>
              <w:spacing w:line="360" w:lineRule="auto"/>
              <w:jc w:val="center"/>
              <w:rPr>
                <w:rFonts w:ascii="宋体" w:hAnsi="宋体" w:cs="宋体"/>
              </w:rPr>
            </w:pPr>
          </w:p>
        </w:tc>
      </w:tr>
      <w:tr w14:paraId="4FF1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4572960F">
            <w:pPr>
              <w:spacing w:line="360" w:lineRule="auto"/>
              <w:jc w:val="center"/>
              <w:rPr>
                <w:rFonts w:ascii="宋体" w:hAnsi="宋体" w:cs="宋体"/>
              </w:rPr>
            </w:pPr>
            <w:r>
              <w:rPr>
                <w:rFonts w:hint="eastAsia" w:ascii="宋体" w:hAnsi="宋体" w:cs="宋体"/>
              </w:rPr>
              <w:t>3</w:t>
            </w:r>
          </w:p>
        </w:tc>
        <w:tc>
          <w:tcPr>
            <w:tcW w:w="1805" w:type="dxa"/>
            <w:noWrap/>
            <w:tcMar>
              <w:top w:w="20" w:type="dxa"/>
              <w:left w:w="20" w:type="dxa"/>
              <w:bottom w:w="0" w:type="dxa"/>
              <w:right w:w="20" w:type="dxa"/>
            </w:tcMar>
            <w:vAlign w:val="center"/>
          </w:tcPr>
          <w:p w14:paraId="62A4497C">
            <w:pPr>
              <w:spacing w:line="360" w:lineRule="auto"/>
              <w:jc w:val="center"/>
              <w:rPr>
                <w:rFonts w:ascii="宋体" w:hAnsi="宋体" w:cs="宋体"/>
              </w:rPr>
            </w:pPr>
          </w:p>
        </w:tc>
        <w:tc>
          <w:tcPr>
            <w:tcW w:w="1980" w:type="dxa"/>
            <w:noWrap/>
            <w:tcMar>
              <w:top w:w="20" w:type="dxa"/>
              <w:left w:w="20" w:type="dxa"/>
              <w:bottom w:w="0" w:type="dxa"/>
              <w:right w:w="20" w:type="dxa"/>
            </w:tcMar>
            <w:vAlign w:val="center"/>
          </w:tcPr>
          <w:p w14:paraId="2B97907C">
            <w:pPr>
              <w:spacing w:line="360" w:lineRule="auto"/>
              <w:jc w:val="center"/>
              <w:rPr>
                <w:rFonts w:ascii="宋体" w:hAnsi="宋体" w:cs="宋体"/>
              </w:rPr>
            </w:pPr>
          </w:p>
        </w:tc>
        <w:tc>
          <w:tcPr>
            <w:tcW w:w="886" w:type="dxa"/>
            <w:noWrap/>
            <w:tcMar>
              <w:top w:w="20" w:type="dxa"/>
              <w:left w:w="20" w:type="dxa"/>
              <w:bottom w:w="0" w:type="dxa"/>
              <w:right w:w="20" w:type="dxa"/>
            </w:tcMar>
            <w:vAlign w:val="center"/>
          </w:tcPr>
          <w:p w14:paraId="48F29FB1">
            <w:pPr>
              <w:spacing w:line="360" w:lineRule="auto"/>
              <w:jc w:val="center"/>
              <w:rPr>
                <w:rFonts w:ascii="宋体" w:hAnsi="宋体" w:cs="宋体"/>
              </w:rPr>
            </w:pPr>
          </w:p>
        </w:tc>
        <w:tc>
          <w:tcPr>
            <w:tcW w:w="985" w:type="dxa"/>
            <w:noWrap/>
            <w:tcMar>
              <w:top w:w="20" w:type="dxa"/>
              <w:left w:w="20" w:type="dxa"/>
              <w:bottom w:w="0" w:type="dxa"/>
              <w:right w:w="20" w:type="dxa"/>
            </w:tcMar>
            <w:vAlign w:val="center"/>
          </w:tcPr>
          <w:p w14:paraId="3729EB48">
            <w:pPr>
              <w:spacing w:line="360" w:lineRule="auto"/>
              <w:jc w:val="center"/>
              <w:rPr>
                <w:rFonts w:ascii="宋体" w:hAnsi="宋体" w:cs="宋体"/>
              </w:rPr>
            </w:pPr>
          </w:p>
        </w:tc>
        <w:tc>
          <w:tcPr>
            <w:tcW w:w="984" w:type="dxa"/>
            <w:noWrap/>
            <w:tcMar>
              <w:top w:w="20" w:type="dxa"/>
              <w:left w:w="20" w:type="dxa"/>
              <w:bottom w:w="0" w:type="dxa"/>
              <w:right w:w="20" w:type="dxa"/>
            </w:tcMar>
            <w:vAlign w:val="center"/>
          </w:tcPr>
          <w:p w14:paraId="635834B5">
            <w:pPr>
              <w:spacing w:line="360" w:lineRule="auto"/>
              <w:jc w:val="center"/>
              <w:rPr>
                <w:rFonts w:ascii="宋体" w:hAnsi="宋体" w:cs="宋体"/>
              </w:rPr>
            </w:pPr>
          </w:p>
        </w:tc>
        <w:tc>
          <w:tcPr>
            <w:tcW w:w="978" w:type="dxa"/>
            <w:noWrap/>
            <w:vAlign w:val="center"/>
          </w:tcPr>
          <w:p w14:paraId="4E91BABF">
            <w:pPr>
              <w:spacing w:line="360" w:lineRule="auto"/>
              <w:jc w:val="center"/>
              <w:rPr>
                <w:rFonts w:ascii="宋体" w:hAnsi="宋体" w:cs="宋体"/>
              </w:rPr>
            </w:pPr>
          </w:p>
        </w:tc>
        <w:tc>
          <w:tcPr>
            <w:tcW w:w="580" w:type="dxa"/>
            <w:noWrap/>
            <w:tcMar>
              <w:top w:w="20" w:type="dxa"/>
              <w:left w:w="20" w:type="dxa"/>
              <w:bottom w:w="0" w:type="dxa"/>
              <w:right w:w="20" w:type="dxa"/>
            </w:tcMar>
            <w:vAlign w:val="center"/>
          </w:tcPr>
          <w:p w14:paraId="6CACFAE9">
            <w:pPr>
              <w:spacing w:line="360" w:lineRule="auto"/>
              <w:jc w:val="center"/>
              <w:rPr>
                <w:rFonts w:ascii="宋体" w:hAnsi="宋体" w:cs="宋体"/>
              </w:rPr>
            </w:pPr>
          </w:p>
        </w:tc>
      </w:tr>
      <w:tr w14:paraId="5E68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157E05D4">
            <w:pPr>
              <w:spacing w:line="360" w:lineRule="auto"/>
              <w:jc w:val="center"/>
              <w:rPr>
                <w:rFonts w:ascii="宋体" w:hAnsi="宋体" w:cs="宋体"/>
              </w:rPr>
            </w:pPr>
            <w:r>
              <w:rPr>
                <w:rFonts w:hint="eastAsia" w:ascii="宋体" w:hAnsi="宋体" w:cs="宋体"/>
              </w:rPr>
              <w:t>合同金额(元)</w:t>
            </w:r>
          </w:p>
        </w:tc>
        <w:tc>
          <w:tcPr>
            <w:tcW w:w="4413" w:type="dxa"/>
            <w:gridSpan w:val="5"/>
            <w:noWrap/>
            <w:tcMar>
              <w:top w:w="20" w:type="dxa"/>
              <w:left w:w="20" w:type="dxa"/>
              <w:bottom w:w="0" w:type="dxa"/>
              <w:right w:w="20" w:type="dxa"/>
            </w:tcMar>
            <w:vAlign w:val="center"/>
          </w:tcPr>
          <w:p w14:paraId="3791D315">
            <w:pPr>
              <w:spacing w:line="360" w:lineRule="auto"/>
              <w:jc w:val="left"/>
              <w:rPr>
                <w:rFonts w:ascii="宋体" w:hAnsi="宋体" w:cs="宋体"/>
              </w:rPr>
            </w:pPr>
            <w:r>
              <w:rPr>
                <w:rFonts w:hint="eastAsia" w:ascii="宋体" w:hAnsi="宋体" w:cs="宋体"/>
              </w:rPr>
              <w:t xml:space="preserve">大写： </w:t>
            </w:r>
          </w:p>
        </w:tc>
      </w:tr>
      <w:tr w14:paraId="28D0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3B4B2323">
            <w:pPr>
              <w:spacing w:line="360" w:lineRule="auto"/>
              <w:jc w:val="center"/>
              <w:rPr>
                <w:rFonts w:ascii="宋体" w:hAnsi="宋体" w:cs="宋体"/>
              </w:rPr>
            </w:pPr>
          </w:p>
        </w:tc>
        <w:tc>
          <w:tcPr>
            <w:tcW w:w="4413" w:type="dxa"/>
            <w:gridSpan w:val="5"/>
            <w:noWrap/>
            <w:tcMar>
              <w:top w:w="20" w:type="dxa"/>
              <w:left w:w="20" w:type="dxa"/>
              <w:bottom w:w="0" w:type="dxa"/>
              <w:right w:w="20" w:type="dxa"/>
            </w:tcMar>
            <w:vAlign w:val="center"/>
          </w:tcPr>
          <w:p w14:paraId="7510E7CF">
            <w:pPr>
              <w:spacing w:line="360" w:lineRule="auto"/>
              <w:jc w:val="left"/>
              <w:rPr>
                <w:rFonts w:ascii="宋体" w:hAnsi="宋体" w:cs="宋体"/>
              </w:rPr>
            </w:pPr>
            <w:r>
              <w:rPr>
                <w:rFonts w:hint="eastAsia" w:ascii="宋体" w:hAnsi="宋体" w:cs="宋体"/>
              </w:rPr>
              <w:t>小写：   元</w:t>
            </w:r>
          </w:p>
        </w:tc>
      </w:tr>
    </w:tbl>
    <w:p w14:paraId="3DC79CDF">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2.上述合同金额为一次性包干总价，不受市场价格的变化和影响，在合同不发生变更时作为付款结算的依据。</w:t>
      </w:r>
    </w:p>
    <w:p w14:paraId="5E5286D0">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495E4E20">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4.在实际合同履行过程中，如果乙方未完全履行合同义务或履行的合同义务不符合约定的，则未履行或履行不符合合同约定的内容所对应的价款由甲方直接从上述约定的包干价中扣除。</w:t>
      </w:r>
    </w:p>
    <w:p w14:paraId="474B5497">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二、货物质量</w:t>
      </w:r>
    </w:p>
    <w:p w14:paraId="58F24D9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13FA9822">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2.乙方提供的设备及配套产品须</w:t>
      </w:r>
      <w:r>
        <w:rPr>
          <w:rFonts w:hint="eastAsia" w:ascii="宋体" w:hAnsi="宋体" w:cs="宋体"/>
          <w:sz w:val="24"/>
          <w:szCs w:val="24"/>
        </w:rPr>
        <w:t>符合国家有关质量标准、规范和环保要求。</w:t>
      </w:r>
    </w:p>
    <w:p w14:paraId="514B6BF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0A334C00">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4.乙方提供的设备及配套产品必须能按国家标准供应、检测、调试，确保产品技术指标满足使用要求。</w:t>
      </w:r>
    </w:p>
    <w:p w14:paraId="16EB2E51">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5.除非技术规范中另有规定，计量单位均采用中华人民共和国法定计量单位。</w:t>
      </w:r>
    </w:p>
    <w:p w14:paraId="1197901B">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三、交货时间及交货地点</w:t>
      </w:r>
    </w:p>
    <w:p w14:paraId="5B7DAC96">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1.交货（安装）地点：</w:t>
      </w:r>
      <w:r>
        <w:rPr>
          <w:rFonts w:hint="eastAsia" w:ascii="宋体" w:hAnsi="宋体" w:cs="宋体"/>
          <w:kern w:val="0"/>
          <w:sz w:val="24"/>
          <w:szCs w:val="24"/>
          <w:u w:val="single"/>
        </w:rPr>
        <w:t xml:space="preserve">                     </w:t>
      </w:r>
      <w:r>
        <w:rPr>
          <w:rFonts w:hint="eastAsia" w:ascii="宋体" w:hAnsi="宋体" w:cs="宋体"/>
          <w:sz w:val="24"/>
          <w:szCs w:val="24"/>
        </w:rPr>
        <w:t>（具体到房间）。乙方要提供整套合格产品，切实做好安全防护相关工作，并负责安排卸货和安装所需工具以及人员。</w:t>
      </w:r>
    </w:p>
    <w:p w14:paraId="16880D8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2.交货日期：20</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日前或合同签订后</w:t>
      </w:r>
      <w:r>
        <w:rPr>
          <w:rFonts w:hint="eastAsia" w:ascii="宋体" w:hAnsi="宋体" w:cs="宋体"/>
          <w:kern w:val="0"/>
          <w:sz w:val="24"/>
          <w:szCs w:val="24"/>
          <w:u w:val="single"/>
        </w:rPr>
        <w:t xml:space="preserve">   </w:t>
      </w:r>
      <w:r>
        <w:rPr>
          <w:rFonts w:hint="eastAsia" w:ascii="宋体" w:hAnsi="宋体" w:cs="宋体"/>
          <w:kern w:val="0"/>
          <w:sz w:val="24"/>
          <w:szCs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0BD24D09">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四、货物交付及验收</w:t>
      </w:r>
    </w:p>
    <w:p w14:paraId="61F2203F">
      <w:pPr>
        <w:widowControl/>
        <w:spacing w:line="480" w:lineRule="exact"/>
        <w:ind w:firstLine="482"/>
        <w:jc w:val="left"/>
        <w:rPr>
          <w:rFonts w:ascii="宋体" w:hAnsi="宋体" w:cs="宋体"/>
          <w:kern w:val="0"/>
          <w:sz w:val="24"/>
          <w:szCs w:val="24"/>
        </w:rPr>
      </w:pPr>
      <w:r>
        <w:rPr>
          <w:rFonts w:hint="eastAsia" w:ascii="宋体" w:hAnsi="宋体" w:cs="宋体"/>
          <w:b/>
          <w:bCs/>
          <w:kern w:val="0"/>
          <w:sz w:val="24"/>
          <w:szCs w:val="24"/>
        </w:rPr>
        <w:t>1.货物交付</w:t>
      </w:r>
    </w:p>
    <w:p w14:paraId="7D8F5C1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33E3A042">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1.2乙方负责提供货物（设备）相应的技术资料，包括产品合格证、产品保修单、安装使用及维护说明书以及运输装箱清单等,并对所有技术材料的真实性、准确性、先进性、完整性负责。</w:t>
      </w:r>
    </w:p>
    <w:p w14:paraId="39274EAA">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C371AB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63C0A036">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0189123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9E0C473">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1.6乙方应向甲方提供有关标准的中文文本。</w:t>
      </w:r>
    </w:p>
    <w:p w14:paraId="6911D13F">
      <w:pPr>
        <w:widowControl/>
        <w:spacing w:line="480" w:lineRule="exact"/>
        <w:ind w:firstLine="482"/>
        <w:jc w:val="left"/>
        <w:rPr>
          <w:rFonts w:ascii="宋体" w:hAnsi="宋体" w:cs="宋体"/>
          <w:b/>
          <w:bCs/>
          <w:kern w:val="0"/>
          <w:sz w:val="24"/>
          <w:szCs w:val="24"/>
        </w:rPr>
      </w:pPr>
      <w:r>
        <w:rPr>
          <w:rFonts w:hint="eastAsia" w:ascii="宋体" w:hAnsi="宋体" w:cs="宋体"/>
          <w:b/>
          <w:bCs/>
          <w:kern w:val="0"/>
          <w:sz w:val="24"/>
          <w:szCs w:val="24"/>
        </w:rPr>
        <w:t>2.验收</w:t>
      </w:r>
    </w:p>
    <w:p w14:paraId="0CAB8C30">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2.1验收方法及标准：</w:t>
      </w:r>
      <w:r>
        <w:rPr>
          <w:rFonts w:hint="eastAsia" w:ascii="宋体" w:hAnsi="宋体" w:cs="宋体"/>
          <w:kern w:val="0"/>
          <w:sz w:val="24"/>
          <w:szCs w:val="24"/>
          <w:u w:val="single"/>
        </w:rPr>
        <w:t xml:space="preserve"> 具体详见附件2 </w:t>
      </w:r>
      <w:r>
        <w:rPr>
          <w:rFonts w:hint="eastAsia" w:ascii="宋体" w:hAnsi="宋体" w:cs="宋体"/>
          <w:kern w:val="0"/>
          <w:sz w:val="24"/>
          <w:szCs w:val="24"/>
        </w:rPr>
        <w:t>。</w:t>
      </w:r>
    </w:p>
    <w:p w14:paraId="531F89DE">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五、合同价款支付及履约保证金</w:t>
      </w:r>
    </w:p>
    <w:p w14:paraId="218E71B3">
      <w:pPr>
        <w:snapToGrid w:val="0"/>
        <w:spacing w:line="480" w:lineRule="exact"/>
        <w:ind w:firstLine="482" w:firstLineChars="200"/>
        <w:rPr>
          <w:rFonts w:ascii="宋体" w:hAnsi="宋体" w:cs="宋体"/>
          <w:b/>
          <w:bCs/>
          <w:sz w:val="24"/>
          <w:szCs w:val="24"/>
        </w:rPr>
      </w:pPr>
      <w:r>
        <w:rPr>
          <w:rFonts w:hint="eastAsia" w:ascii="宋体" w:hAnsi="宋体" w:cs="宋体"/>
          <w:b/>
          <w:bCs/>
          <w:sz w:val="24"/>
          <w:szCs w:val="24"/>
        </w:rPr>
        <w:t>1. 合同价款支付</w:t>
      </w:r>
    </w:p>
    <w:p w14:paraId="1B0643D1">
      <w:pPr>
        <w:snapToGrid w:val="0"/>
        <w:spacing w:line="480" w:lineRule="exact"/>
        <w:ind w:firstLine="482" w:firstLineChars="200"/>
        <w:rPr>
          <w:rFonts w:ascii="宋体" w:hAnsi="宋体" w:cs="宋体"/>
          <w:b/>
          <w:bCs/>
          <w:sz w:val="24"/>
          <w:szCs w:val="24"/>
        </w:rPr>
      </w:pPr>
      <w:r>
        <w:rPr>
          <w:rFonts w:hint="eastAsia" w:ascii="宋体" w:hAnsi="宋体" w:cs="宋体"/>
          <w:b/>
          <w:bCs/>
          <w:sz w:val="24"/>
          <w:szCs w:val="24"/>
        </w:rPr>
        <w:t>1.1合同价款支付方式</w:t>
      </w:r>
    </w:p>
    <w:p w14:paraId="62F1108A">
      <w:pPr>
        <w:snapToGrid w:val="0"/>
        <w:spacing w:line="480" w:lineRule="exact"/>
        <w:ind w:firstLine="482" w:firstLineChars="200"/>
        <w:rPr>
          <w:rFonts w:ascii="宋体" w:hAnsi="宋体" w:cs="宋体"/>
          <w:b/>
          <w:bCs/>
          <w:sz w:val="24"/>
          <w:szCs w:val="24"/>
        </w:rPr>
      </w:pPr>
      <w:r>
        <w:rPr>
          <w:rFonts w:hint="eastAsia" w:ascii="宋体" w:hAnsi="宋体" w:cs="宋体"/>
          <w:b/>
          <w:bCs/>
          <w:sz w:val="24"/>
          <w:szCs w:val="24"/>
        </w:rPr>
        <w:t>签订合同后1</w:t>
      </w:r>
      <w:r>
        <w:rPr>
          <w:rFonts w:hint="eastAsia" w:ascii="宋体" w:hAnsi="宋体" w:cs="宋体"/>
          <w:b/>
          <w:bCs/>
          <w:sz w:val="24"/>
          <w:szCs w:val="24"/>
          <w:lang w:val="en-US" w:eastAsia="zh-CN"/>
        </w:rPr>
        <w:t>0个工作</w:t>
      </w:r>
      <w:r>
        <w:rPr>
          <w:rFonts w:hint="eastAsia" w:ascii="宋体" w:hAnsi="宋体" w:cs="宋体"/>
          <w:b/>
          <w:bCs/>
          <w:sz w:val="24"/>
          <w:szCs w:val="24"/>
        </w:rPr>
        <w:t>日内，乙方提供经甲方认可的合同金额100%的预付款保函或双方认可的其他担保措施，支付合同金额的100%。</w:t>
      </w:r>
    </w:p>
    <w:p w14:paraId="2CA28AEA">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1.2甲方向乙方付款时，乙方须向甲方出具合同总价款的增值税专用发票。</w:t>
      </w:r>
    </w:p>
    <w:p w14:paraId="1BBF298E">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2.履约保证金</w:t>
      </w:r>
    </w:p>
    <w:p w14:paraId="29A5B67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2.1乙方应在收到中标（成交）通知书后3个工作日内，向甲方提交合同总价5%的履约保证金；</w:t>
      </w:r>
    </w:p>
    <w:p w14:paraId="53F732EE">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2.2履约保证金应使用人民币，按</w:t>
      </w:r>
      <w:r>
        <w:rPr>
          <w:rFonts w:hint="eastAsia" w:ascii="宋体" w:hAnsi="宋体" w:cs="宋体"/>
          <w:kern w:val="0"/>
          <w:sz w:val="24"/>
          <w:szCs w:val="24"/>
          <w:u w:val="single"/>
        </w:rPr>
        <w:t xml:space="preserve">            </w:t>
      </w:r>
      <w:r>
        <w:rPr>
          <w:rFonts w:hint="eastAsia" w:ascii="宋体" w:hAnsi="宋体" w:cs="宋体"/>
          <w:kern w:val="0"/>
          <w:sz w:val="24"/>
          <w:szCs w:val="24"/>
        </w:rPr>
        <w:t>方式提交；</w:t>
      </w:r>
    </w:p>
    <w:p w14:paraId="40A5970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2.3项目全部完成并由甲方验收合格后，乙方申请，甲方应把履约保证金（无息）退还乙方。</w:t>
      </w:r>
    </w:p>
    <w:p w14:paraId="4B36F027">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六、质量保证期及售后服务</w:t>
      </w:r>
    </w:p>
    <w:p w14:paraId="26BCDF50">
      <w:pPr>
        <w:widowControl/>
        <w:spacing w:line="480" w:lineRule="exact"/>
        <w:ind w:firstLine="482"/>
        <w:jc w:val="left"/>
        <w:rPr>
          <w:rFonts w:ascii="宋体" w:hAnsi="宋体" w:cs="宋体"/>
          <w:sz w:val="24"/>
          <w:szCs w:val="24"/>
        </w:rPr>
      </w:pPr>
      <w:r>
        <w:rPr>
          <w:rFonts w:hint="eastAsia" w:ascii="宋体" w:hAnsi="宋体" w:cs="宋体"/>
          <w:kern w:val="0"/>
          <w:sz w:val="24"/>
          <w:szCs w:val="24"/>
        </w:rPr>
        <w:t>1.</w:t>
      </w:r>
      <w:r>
        <w:rPr>
          <w:rFonts w:hint="eastAsia" w:ascii="宋体" w:hAnsi="宋体" w:cs="宋体"/>
          <w:sz w:val="24"/>
          <w:szCs w:val="24"/>
        </w:rPr>
        <w:t>产品质量保证期为甲方最终设备验收合格后</w:t>
      </w:r>
      <w:r>
        <w:rPr>
          <w:rFonts w:hint="eastAsia" w:ascii="宋体" w:hAnsi="宋体" w:cs="宋体"/>
          <w:sz w:val="24"/>
          <w:szCs w:val="24"/>
          <w:u w:val="single"/>
        </w:rPr>
        <w:t xml:space="preserve">     </w:t>
      </w:r>
      <w:r>
        <w:rPr>
          <w:rFonts w:hint="eastAsia" w:ascii="宋体" w:hAnsi="宋体" w:cs="宋体"/>
          <w:sz w:val="24"/>
          <w:szCs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A20A296">
      <w:pPr>
        <w:widowControl/>
        <w:spacing w:line="480" w:lineRule="exact"/>
        <w:ind w:firstLine="482"/>
        <w:jc w:val="left"/>
        <w:rPr>
          <w:rFonts w:ascii="宋体" w:hAnsi="宋体" w:cs="宋体"/>
          <w:sz w:val="24"/>
          <w:szCs w:val="24"/>
        </w:rPr>
      </w:pPr>
      <w:r>
        <w:rPr>
          <w:rFonts w:hint="eastAsia" w:ascii="宋体" w:hAnsi="宋体" w:cs="宋体"/>
          <w:sz w:val="24"/>
          <w:szCs w:val="24"/>
        </w:rPr>
        <w:t>2.质保期内乙方对甲方提出的服务响应不得超出</w:t>
      </w:r>
      <w:r>
        <w:rPr>
          <w:rFonts w:hint="eastAsia" w:ascii="宋体" w:hAnsi="宋体" w:cs="宋体"/>
          <w:sz w:val="24"/>
          <w:szCs w:val="24"/>
          <w:u w:val="single"/>
        </w:rPr>
        <w:t xml:space="preserve">     </w:t>
      </w:r>
      <w:r>
        <w:rPr>
          <w:rFonts w:hint="eastAsia" w:ascii="宋体" w:hAnsi="宋体" w:cs="宋体"/>
          <w:sz w:val="24"/>
          <w:szCs w:val="24"/>
        </w:rPr>
        <w:t>小时。</w:t>
      </w:r>
    </w:p>
    <w:p w14:paraId="289C78F5">
      <w:pPr>
        <w:widowControl/>
        <w:spacing w:line="480" w:lineRule="exact"/>
        <w:ind w:firstLine="482"/>
        <w:jc w:val="left"/>
        <w:rPr>
          <w:rFonts w:ascii="宋体" w:hAnsi="宋体" w:cs="宋体"/>
          <w:sz w:val="24"/>
          <w:szCs w:val="24"/>
        </w:rPr>
      </w:pPr>
      <w:r>
        <w:rPr>
          <w:rFonts w:hint="eastAsia" w:ascii="宋体" w:hAnsi="宋体" w:cs="宋体"/>
          <w:sz w:val="24"/>
          <w:szCs w:val="24"/>
        </w:rPr>
        <w:t>3.售后服务：具体服务详见乙方投标文件中乙方的承诺书。</w:t>
      </w:r>
    </w:p>
    <w:p w14:paraId="358E74B1">
      <w:pPr>
        <w:widowControl/>
        <w:spacing w:line="480" w:lineRule="exact"/>
        <w:ind w:firstLine="482"/>
        <w:jc w:val="left"/>
        <w:rPr>
          <w:rFonts w:ascii="宋体" w:hAnsi="宋体" w:cs="宋体"/>
          <w:kern w:val="0"/>
          <w:sz w:val="24"/>
          <w:szCs w:val="24"/>
        </w:rPr>
      </w:pPr>
      <w:r>
        <w:rPr>
          <w:rFonts w:hint="eastAsia" w:ascii="宋体" w:hAnsi="宋体" w:cs="宋体"/>
          <w:sz w:val="24"/>
          <w:szCs w:val="24"/>
        </w:rPr>
        <w:t>4.人员培训：乙方终身免费为甲方培训设备使用人员，培训内容包括：设备操作、维护、简单维修等。</w:t>
      </w:r>
    </w:p>
    <w:p w14:paraId="3E00F0CD">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七、违约责任</w:t>
      </w:r>
    </w:p>
    <w:p w14:paraId="1CE7FEFC">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1.合同生效后，甲乙双方应按合同规定认真履约。合同履约责任只涉及合同甲乙双方，不考虑第三方因素。</w:t>
      </w:r>
    </w:p>
    <w:p w14:paraId="37783344">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2.除不可抗力原因外，如遇下列情况之一者，乙方所缴纳的履约保证金、产品质量保证金甲方有权不予退还，作为对甲方的赔偿，且甲方有权解除本合同：</w:t>
      </w:r>
    </w:p>
    <w:p w14:paraId="0D8310B8">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（1）合同签订后不能按合同时限要求供货或安装调试；</w:t>
      </w:r>
    </w:p>
    <w:p w14:paraId="133AB25E">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（2）所供设备不合格、与合同不符；</w:t>
      </w:r>
    </w:p>
    <w:p w14:paraId="7AB4910B">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（3）不能按合同履约；</w:t>
      </w:r>
    </w:p>
    <w:p w14:paraId="2015D7D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（4）因产品质量原因，不能通过验收。</w:t>
      </w:r>
    </w:p>
    <w:p w14:paraId="0D2F1782">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3.如乙方产品质量不符合国家标准、行业内控标准或本合同技术附件要求的，甲方有权退货，乙方应退还全部货款，并承担甲方合同总价款10％的违约金及其他损失。</w:t>
      </w:r>
    </w:p>
    <w:p w14:paraId="4F6A74A7">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4.在合同规定的供货期内乙方未全部交货，除应在</w:t>
      </w:r>
      <w:r>
        <w:rPr>
          <w:rFonts w:hint="eastAsia" w:ascii="宋体" w:hAnsi="宋体" w:cs="宋体"/>
          <w:kern w:val="0"/>
          <w:sz w:val="24"/>
          <w:szCs w:val="24"/>
          <w:u w:val="single"/>
        </w:rPr>
        <w:t xml:space="preserve">     </w:t>
      </w:r>
      <w:r>
        <w:rPr>
          <w:rFonts w:hint="eastAsia" w:ascii="宋体" w:hAnsi="宋体" w:cs="宋体"/>
          <w:kern w:val="0"/>
          <w:sz w:val="24"/>
          <w:szCs w:val="24"/>
        </w:rPr>
        <w:t>天内如数补齐外，还应承担合同总款的10％违约金。</w:t>
      </w:r>
    </w:p>
    <w:p w14:paraId="5C094282">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5.乙方对货物不按招标文件要求，擅自更换，除恢复原招标产品外，应承担更换部分价款10%的违约金；乙方如对产品材质、随机配品以次充好，除全部按要求恢复外，应承担此部分价款10%的违约金。</w:t>
      </w:r>
    </w:p>
    <w:p w14:paraId="3FCC4C3F">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5A8C2DE">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171743">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8.出现下列情形之一的，视为乙方违约。甲方可向乙方发出书面通知，部分或全部终止合同，同时保留向乙方索赔的权利，具体情形如下：</w:t>
      </w:r>
    </w:p>
    <w:p w14:paraId="7EF76A25">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 xml:space="preserve">（1）乙方未能在合同规定的限期或甲方同意延长的限期内，提供全部或部分货物的； </w:t>
      </w:r>
    </w:p>
    <w:p w14:paraId="388CDA09">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（2）乙方未能履行合同规定的其它主要义务的；</w:t>
      </w:r>
    </w:p>
    <w:p w14:paraId="23C1F66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（3）乙方在本合同履行过程中有欺诈行为的。</w:t>
      </w:r>
    </w:p>
    <w:p w14:paraId="4B873E4A">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9.索赔：</w:t>
      </w:r>
      <w:r>
        <w:rPr>
          <w:rFonts w:hint="eastAsia" w:ascii="宋体" w:hAnsi="宋体" w:cs="宋体"/>
          <w:kern w:val="0"/>
          <w:sz w:val="24"/>
          <w:szCs w:val="24"/>
          <w:u w:val="single"/>
        </w:rPr>
        <w:t xml:space="preserve"> 具体详见附件3 </w:t>
      </w:r>
      <w:r>
        <w:rPr>
          <w:rFonts w:hint="eastAsia" w:ascii="宋体" w:hAnsi="宋体" w:cs="宋体"/>
          <w:kern w:val="0"/>
          <w:sz w:val="24"/>
          <w:szCs w:val="24"/>
        </w:rPr>
        <w:t>。</w:t>
      </w:r>
    </w:p>
    <w:p w14:paraId="23AA8D68">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0155C2A2">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八、合同争议的解决：</w:t>
      </w:r>
    </w:p>
    <w:p w14:paraId="690ED005">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1.甲乙双方由于本合同的履行而发生任何争议时，双方可先通过协商解决。</w:t>
      </w:r>
    </w:p>
    <w:p w14:paraId="17238295">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2.任何一方不愿通过协商或通过协商仍不能解决争议，则双方中任何一方均应向甲方所在地人民法院起诉。</w:t>
      </w:r>
    </w:p>
    <w:p w14:paraId="68108995">
      <w:pPr>
        <w:widowControl/>
        <w:spacing w:line="480" w:lineRule="exact"/>
        <w:ind w:firstLine="482"/>
        <w:jc w:val="left"/>
        <w:rPr>
          <w:rFonts w:ascii="宋体" w:hAnsi="宋体" w:cs="宋体"/>
          <w:b/>
          <w:kern w:val="0"/>
          <w:sz w:val="28"/>
          <w:szCs w:val="28"/>
        </w:rPr>
      </w:pPr>
      <w:r>
        <w:rPr>
          <w:rFonts w:hint="eastAsia" w:ascii="宋体" w:hAnsi="宋体" w:cs="宋体"/>
          <w:b/>
          <w:kern w:val="0"/>
          <w:sz w:val="28"/>
          <w:szCs w:val="28"/>
        </w:rPr>
        <w:t>九、其他：</w:t>
      </w:r>
    </w:p>
    <w:p w14:paraId="63D843EF">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1.合同经双方签字盖章后生效。本合同一式五份，甲方执四份，乙方执一份，执行完毕后自行失效。</w:t>
      </w:r>
    </w:p>
    <w:p w14:paraId="22ACED4B">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3.合同的附件、投标文件均作为本合同不可分割的内容，且具有同等法律效力。合同的附件由甲方使用单位负责审核并签章。</w:t>
      </w:r>
    </w:p>
    <w:p w14:paraId="28BE095B">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4.在本合同执行过程中，甲、乙双方协商签订的补充合同与原合同具有同等法律效力。</w:t>
      </w:r>
    </w:p>
    <w:p w14:paraId="44E89496">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5.未尽事宜，双方协商解决。</w:t>
      </w:r>
    </w:p>
    <w:p w14:paraId="3BEFE5E6">
      <w:pPr>
        <w:snapToGrid w:val="0"/>
        <w:spacing w:line="440" w:lineRule="exact"/>
        <w:ind w:firstLine="400" w:firstLineChars="200"/>
        <w:rPr>
          <w:rFonts w:ascii="宋体" w:hAnsi="宋体" w:cs="宋体"/>
        </w:rPr>
      </w:pPr>
    </w:p>
    <w:p w14:paraId="7A3E0FAE">
      <w:pPr>
        <w:snapToGrid w:val="0"/>
        <w:spacing w:line="480" w:lineRule="exact"/>
        <w:rPr>
          <w:rFonts w:ascii="宋体" w:hAnsi="宋体" w:cs="宋体"/>
          <w:b/>
        </w:rPr>
      </w:pPr>
      <w:r>
        <w:rPr>
          <w:rFonts w:hint="eastAsia" w:ascii="宋体" w:hAnsi="宋体" w:cs="宋体"/>
          <w:b/>
        </w:rPr>
        <w:t>合同签订地点：西安建筑科技大学</w:t>
      </w:r>
    </w:p>
    <w:p w14:paraId="11239D4A">
      <w:pPr>
        <w:snapToGrid w:val="0"/>
        <w:spacing w:line="480" w:lineRule="exact"/>
        <w:rPr>
          <w:rFonts w:ascii="宋体" w:hAnsi="宋体" w:cs="宋体"/>
          <w:b/>
        </w:rPr>
      </w:pPr>
      <w:r>
        <w:rPr>
          <w:rFonts w:hint="eastAsia" w:ascii="宋体" w:hAnsi="宋体" w:cs="宋体"/>
          <w:b/>
        </w:rPr>
        <w:t>合同签订时间：      年    月    日</w:t>
      </w:r>
    </w:p>
    <w:p w14:paraId="3A25F0B1">
      <w:pPr>
        <w:rPr>
          <w:rFonts w:ascii="宋体" w:hAnsi="宋体" w:cs="宋体"/>
          <w:b/>
        </w:rPr>
      </w:pPr>
      <w:r>
        <w:rPr>
          <w:rFonts w:hint="eastAsia" w:ascii="宋体" w:hAnsi="宋体" w:cs="宋体"/>
          <w:b/>
        </w:rPr>
        <w:br w:type="page"/>
      </w:r>
    </w:p>
    <w:p w14:paraId="5A1A4ED4">
      <w:pPr>
        <w:snapToGrid w:val="0"/>
        <w:spacing w:line="480" w:lineRule="exact"/>
        <w:rPr>
          <w:rFonts w:ascii="宋体" w:hAnsi="宋体" w:cs="宋体"/>
          <w:b/>
        </w:rPr>
      </w:pPr>
    </w:p>
    <w:tbl>
      <w:tblPr>
        <w:tblStyle w:val="11"/>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2"/>
        <w:gridCol w:w="4283"/>
      </w:tblGrid>
      <w:tr w14:paraId="798F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48B4A62">
            <w:pPr>
              <w:rPr>
                <w:rFonts w:ascii="宋体" w:hAnsi="宋体" w:cs="宋体"/>
                <w:b/>
              </w:rPr>
            </w:pPr>
            <w:r>
              <w:rPr>
                <w:rFonts w:hint="eastAsia" w:ascii="宋体" w:hAnsi="宋体" w:cs="宋体"/>
                <w:b/>
              </w:rPr>
              <w:t>甲  方（盖章）：西安建筑科技大学</w:t>
            </w:r>
          </w:p>
        </w:tc>
        <w:tc>
          <w:tcPr>
            <w:tcW w:w="4283" w:type="dxa"/>
            <w:vAlign w:val="center"/>
          </w:tcPr>
          <w:p w14:paraId="7D89FF24">
            <w:pPr>
              <w:rPr>
                <w:rFonts w:ascii="宋体" w:hAnsi="宋体" w:cs="宋体"/>
              </w:rPr>
            </w:pPr>
            <w:r>
              <w:rPr>
                <w:rFonts w:hint="eastAsia" w:ascii="宋体" w:hAnsi="宋体" w:cs="宋体"/>
                <w:b/>
              </w:rPr>
              <w:t>乙  方（盖章）：</w:t>
            </w:r>
          </w:p>
        </w:tc>
      </w:tr>
      <w:tr w14:paraId="7950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11BB133C">
            <w:pPr>
              <w:rPr>
                <w:rFonts w:ascii="宋体" w:hAnsi="宋体" w:cs="宋体"/>
              </w:rPr>
            </w:pPr>
            <w:r>
              <w:rPr>
                <w:rFonts w:hint="eastAsia" w:ascii="宋体" w:hAnsi="宋体" w:cs="宋体"/>
                <w:b/>
              </w:rPr>
              <w:t>地  址：西安市雁塔路13号</w:t>
            </w:r>
          </w:p>
        </w:tc>
        <w:tc>
          <w:tcPr>
            <w:tcW w:w="4283" w:type="dxa"/>
            <w:vAlign w:val="center"/>
          </w:tcPr>
          <w:p w14:paraId="42ABD7A6">
            <w:pPr>
              <w:rPr>
                <w:rFonts w:ascii="宋体" w:hAnsi="宋体" w:cs="宋体"/>
              </w:rPr>
            </w:pPr>
            <w:r>
              <w:rPr>
                <w:rFonts w:hint="eastAsia" w:ascii="宋体" w:hAnsi="宋体" w:cs="宋体"/>
                <w:b/>
              </w:rPr>
              <w:t>地  址：</w:t>
            </w:r>
          </w:p>
        </w:tc>
      </w:tr>
      <w:tr w14:paraId="11DC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7578F4C0">
            <w:pPr>
              <w:rPr>
                <w:rFonts w:ascii="宋体" w:hAnsi="宋体" w:cs="宋体"/>
              </w:rPr>
            </w:pPr>
            <w:r>
              <w:rPr>
                <w:rFonts w:hint="eastAsia" w:ascii="宋体" w:hAnsi="宋体" w:cs="宋体"/>
                <w:b/>
              </w:rPr>
              <w:t>法定代表人（签字）：</w:t>
            </w:r>
          </w:p>
        </w:tc>
        <w:tc>
          <w:tcPr>
            <w:tcW w:w="4283" w:type="dxa"/>
            <w:vAlign w:val="center"/>
          </w:tcPr>
          <w:p w14:paraId="05312A07">
            <w:pPr>
              <w:rPr>
                <w:rFonts w:ascii="宋体" w:hAnsi="宋体" w:cs="宋体"/>
              </w:rPr>
            </w:pPr>
            <w:r>
              <w:rPr>
                <w:rFonts w:hint="eastAsia" w:ascii="宋体" w:hAnsi="宋体" w:cs="宋体"/>
                <w:b/>
              </w:rPr>
              <w:t>法定代表人（签字）：</w:t>
            </w:r>
          </w:p>
        </w:tc>
      </w:tr>
      <w:tr w14:paraId="3EFA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4B68BDC1">
            <w:pPr>
              <w:rPr>
                <w:rFonts w:ascii="宋体" w:hAnsi="宋体" w:cs="宋体"/>
              </w:rPr>
            </w:pPr>
            <w:r>
              <w:rPr>
                <w:rFonts w:hint="eastAsia" w:ascii="宋体" w:hAnsi="宋体" w:cs="宋体"/>
                <w:b/>
              </w:rPr>
              <w:t>委托代理人（签字）：</w:t>
            </w:r>
          </w:p>
        </w:tc>
        <w:tc>
          <w:tcPr>
            <w:tcW w:w="4283" w:type="dxa"/>
            <w:vAlign w:val="center"/>
          </w:tcPr>
          <w:p w14:paraId="47C17E35">
            <w:pPr>
              <w:rPr>
                <w:rFonts w:ascii="宋体" w:hAnsi="宋体" w:cs="宋体"/>
              </w:rPr>
            </w:pPr>
            <w:r>
              <w:rPr>
                <w:rFonts w:hint="eastAsia" w:ascii="宋体" w:hAnsi="宋体" w:cs="宋体"/>
                <w:b/>
              </w:rPr>
              <w:t>委托代理人（签字）：</w:t>
            </w:r>
          </w:p>
        </w:tc>
      </w:tr>
      <w:tr w14:paraId="2DD8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8D863B0">
            <w:pPr>
              <w:rPr>
                <w:rFonts w:ascii="宋体" w:hAnsi="宋体" w:cs="宋体"/>
              </w:rPr>
            </w:pPr>
            <w:r>
              <w:rPr>
                <w:rFonts w:hint="eastAsia" w:ascii="宋体" w:hAnsi="宋体" w:cs="宋体"/>
                <w:b/>
              </w:rPr>
              <w:t>开户名：西安建筑科技大学</w:t>
            </w:r>
          </w:p>
        </w:tc>
        <w:tc>
          <w:tcPr>
            <w:tcW w:w="4283" w:type="dxa"/>
            <w:vAlign w:val="center"/>
          </w:tcPr>
          <w:p w14:paraId="57DBB873">
            <w:pPr>
              <w:rPr>
                <w:rFonts w:ascii="宋体" w:hAnsi="宋体" w:cs="宋体"/>
              </w:rPr>
            </w:pPr>
            <w:r>
              <w:rPr>
                <w:rFonts w:hint="eastAsia" w:ascii="宋体" w:hAnsi="宋体" w:cs="宋体"/>
                <w:b/>
              </w:rPr>
              <w:t>开户名：</w:t>
            </w:r>
          </w:p>
        </w:tc>
      </w:tr>
      <w:tr w14:paraId="4390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0AE3AC9E">
            <w:pPr>
              <w:rPr>
                <w:rFonts w:ascii="宋体" w:hAnsi="宋体" w:cs="宋体"/>
                <w:b/>
              </w:rPr>
            </w:pPr>
            <w:r>
              <w:rPr>
                <w:rFonts w:hint="eastAsia" w:ascii="宋体" w:hAnsi="宋体" w:cs="宋体"/>
                <w:b/>
              </w:rPr>
              <w:t>开户行：工行雁塔路支行</w:t>
            </w:r>
          </w:p>
          <w:p w14:paraId="32B2D40F">
            <w:pPr>
              <w:rPr>
                <w:rFonts w:ascii="宋体" w:hAnsi="宋体" w:cs="宋体"/>
                <w:b/>
              </w:rPr>
            </w:pPr>
            <w:r>
              <w:rPr>
                <w:rFonts w:hint="eastAsia" w:ascii="宋体" w:hAnsi="宋体" w:cs="宋体"/>
                <w:b/>
              </w:rPr>
              <w:t>行  号: 102791000242</w:t>
            </w:r>
          </w:p>
          <w:p w14:paraId="03F2C0CA">
            <w:pPr>
              <w:rPr>
                <w:rFonts w:ascii="宋体" w:hAnsi="宋体" w:cs="宋体"/>
                <w:b/>
              </w:rPr>
            </w:pPr>
            <w:r>
              <w:rPr>
                <w:rFonts w:hint="eastAsia" w:ascii="宋体" w:hAnsi="宋体" w:cs="宋体"/>
                <w:b/>
              </w:rPr>
              <w:t>税  号: 1261000043523106XB</w:t>
            </w:r>
          </w:p>
        </w:tc>
        <w:tc>
          <w:tcPr>
            <w:tcW w:w="4283" w:type="dxa"/>
            <w:vAlign w:val="center"/>
          </w:tcPr>
          <w:p w14:paraId="01602B37">
            <w:pPr>
              <w:rPr>
                <w:rFonts w:ascii="宋体" w:hAnsi="宋体" w:cs="宋体"/>
              </w:rPr>
            </w:pPr>
            <w:r>
              <w:rPr>
                <w:rFonts w:hint="eastAsia" w:ascii="宋体" w:hAnsi="宋体" w:cs="宋体"/>
                <w:b/>
              </w:rPr>
              <w:t>开户行：</w:t>
            </w:r>
          </w:p>
        </w:tc>
      </w:tr>
      <w:tr w14:paraId="7849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25326940">
            <w:pPr>
              <w:rPr>
                <w:rFonts w:ascii="宋体" w:hAnsi="宋体" w:cs="宋体"/>
                <w:b/>
              </w:rPr>
            </w:pPr>
            <w:r>
              <w:rPr>
                <w:rFonts w:hint="eastAsia" w:ascii="宋体" w:hAnsi="宋体" w:cs="宋体"/>
                <w:b/>
              </w:rPr>
              <w:t>帐  号：3700023009026400639</w:t>
            </w:r>
          </w:p>
        </w:tc>
        <w:tc>
          <w:tcPr>
            <w:tcW w:w="4283" w:type="dxa"/>
            <w:vAlign w:val="center"/>
          </w:tcPr>
          <w:p w14:paraId="5DDD2DC3">
            <w:pPr>
              <w:rPr>
                <w:rFonts w:ascii="宋体" w:hAnsi="宋体" w:cs="宋体"/>
              </w:rPr>
            </w:pPr>
            <w:r>
              <w:rPr>
                <w:rFonts w:hint="eastAsia" w:ascii="宋体" w:hAnsi="宋体" w:cs="宋体"/>
                <w:b/>
              </w:rPr>
              <w:t>帐  号：</w:t>
            </w:r>
          </w:p>
        </w:tc>
      </w:tr>
      <w:tr w14:paraId="273B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07A0DDF7">
            <w:pPr>
              <w:rPr>
                <w:rFonts w:ascii="宋体" w:hAnsi="宋体" w:cs="宋体"/>
                <w:b/>
              </w:rPr>
            </w:pPr>
            <w:r>
              <w:rPr>
                <w:rFonts w:hint="eastAsia" w:ascii="宋体" w:hAnsi="宋体" w:cs="宋体"/>
                <w:b/>
              </w:rPr>
              <w:t>联系人： 梁武</w:t>
            </w:r>
          </w:p>
        </w:tc>
        <w:tc>
          <w:tcPr>
            <w:tcW w:w="4283" w:type="dxa"/>
            <w:vAlign w:val="center"/>
          </w:tcPr>
          <w:p w14:paraId="435EF035">
            <w:pPr>
              <w:rPr>
                <w:rFonts w:ascii="宋体" w:hAnsi="宋体" w:cs="宋体"/>
              </w:rPr>
            </w:pPr>
            <w:r>
              <w:rPr>
                <w:rFonts w:hint="eastAsia" w:ascii="宋体" w:hAnsi="宋体" w:cs="宋体"/>
                <w:b/>
              </w:rPr>
              <w:t>联系人：</w:t>
            </w:r>
          </w:p>
        </w:tc>
      </w:tr>
      <w:tr w14:paraId="1438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27753B42">
            <w:pPr>
              <w:rPr>
                <w:rFonts w:ascii="宋体" w:hAnsi="宋体" w:cs="宋体"/>
                <w:b/>
              </w:rPr>
            </w:pPr>
            <w:r>
              <w:rPr>
                <w:rFonts w:hint="eastAsia" w:ascii="宋体" w:hAnsi="宋体" w:cs="宋体"/>
                <w:b/>
              </w:rPr>
              <w:t>联系电话：029-82202312</w:t>
            </w:r>
          </w:p>
        </w:tc>
        <w:tc>
          <w:tcPr>
            <w:tcW w:w="4283" w:type="dxa"/>
            <w:vAlign w:val="center"/>
          </w:tcPr>
          <w:p w14:paraId="35C99ED8">
            <w:pPr>
              <w:rPr>
                <w:rFonts w:ascii="宋体" w:hAnsi="宋体" w:cs="宋体"/>
              </w:rPr>
            </w:pPr>
            <w:r>
              <w:rPr>
                <w:rFonts w:hint="eastAsia" w:ascii="宋体" w:hAnsi="宋体" w:cs="宋体"/>
                <w:b/>
              </w:rPr>
              <w:t>联系电话：</w:t>
            </w:r>
          </w:p>
        </w:tc>
      </w:tr>
    </w:tbl>
    <w:p w14:paraId="650822F9">
      <w:pPr>
        <w:widowControl/>
        <w:spacing w:line="360" w:lineRule="auto"/>
        <w:ind w:firstLine="482"/>
        <w:jc w:val="left"/>
        <w:rPr>
          <w:rFonts w:ascii="宋体" w:hAnsi="宋体" w:cs="宋体"/>
          <w:b/>
          <w:kern w:val="0"/>
          <w:sz w:val="28"/>
          <w:szCs w:val="28"/>
        </w:rPr>
      </w:pPr>
    </w:p>
    <w:p w14:paraId="2041B121">
      <w:pPr>
        <w:widowControl/>
        <w:spacing w:line="360" w:lineRule="auto"/>
        <w:ind w:firstLine="482"/>
        <w:jc w:val="left"/>
        <w:rPr>
          <w:rFonts w:ascii="宋体" w:hAnsi="宋体" w:cs="宋体"/>
          <w:b/>
          <w:kern w:val="0"/>
          <w:sz w:val="28"/>
          <w:szCs w:val="28"/>
        </w:rPr>
      </w:pPr>
    </w:p>
    <w:p w14:paraId="50E055B8">
      <w:pPr>
        <w:widowControl/>
        <w:spacing w:line="360" w:lineRule="auto"/>
        <w:jc w:val="left"/>
        <w:rPr>
          <w:rFonts w:ascii="宋体" w:hAnsi="宋体" w:cs="宋体"/>
          <w:b/>
          <w:kern w:val="0"/>
          <w:sz w:val="28"/>
          <w:szCs w:val="28"/>
        </w:rPr>
      </w:pPr>
      <w:r>
        <w:rPr>
          <w:rFonts w:hint="eastAsia" w:ascii="宋体" w:hAnsi="宋体" w:cs="宋体"/>
          <w:b/>
          <w:kern w:val="0"/>
          <w:sz w:val="28"/>
          <w:szCs w:val="28"/>
        </w:rPr>
        <w:t>附件：</w:t>
      </w:r>
    </w:p>
    <w:p w14:paraId="5595A559">
      <w:pPr>
        <w:widowControl/>
        <w:spacing w:line="520" w:lineRule="exact"/>
        <w:ind w:firstLine="482"/>
        <w:jc w:val="left"/>
        <w:rPr>
          <w:rFonts w:ascii="宋体" w:hAnsi="宋体" w:cs="宋体"/>
          <w:kern w:val="0"/>
          <w:sz w:val="24"/>
          <w:szCs w:val="24"/>
        </w:rPr>
      </w:pPr>
      <w:r>
        <w:rPr>
          <w:rFonts w:hint="eastAsia" w:ascii="宋体" w:hAnsi="宋体" w:cs="宋体"/>
          <w:kern w:val="0"/>
          <w:sz w:val="24"/>
          <w:szCs w:val="24"/>
        </w:rPr>
        <w:t>附件1：技术协议</w:t>
      </w:r>
    </w:p>
    <w:p w14:paraId="0549CC7D">
      <w:pPr>
        <w:widowControl/>
        <w:spacing w:line="520" w:lineRule="exact"/>
        <w:ind w:firstLine="482"/>
        <w:jc w:val="left"/>
        <w:rPr>
          <w:rFonts w:ascii="宋体" w:hAnsi="宋体" w:cs="宋体"/>
          <w:kern w:val="0"/>
          <w:sz w:val="24"/>
          <w:szCs w:val="24"/>
        </w:rPr>
      </w:pPr>
      <w:r>
        <w:rPr>
          <w:rFonts w:hint="eastAsia" w:ascii="宋体" w:hAnsi="宋体" w:cs="宋体"/>
          <w:kern w:val="0"/>
          <w:sz w:val="24"/>
          <w:szCs w:val="24"/>
        </w:rPr>
        <w:t>附件2：验收方法及标准</w:t>
      </w:r>
    </w:p>
    <w:p w14:paraId="13BD24B9">
      <w:pPr>
        <w:widowControl/>
        <w:spacing w:line="520" w:lineRule="exact"/>
        <w:ind w:firstLine="482"/>
        <w:jc w:val="left"/>
        <w:rPr>
          <w:rFonts w:ascii="宋体" w:hAnsi="宋体" w:cs="宋体"/>
          <w:kern w:val="0"/>
          <w:sz w:val="24"/>
          <w:szCs w:val="24"/>
        </w:rPr>
      </w:pPr>
      <w:r>
        <w:rPr>
          <w:rFonts w:hint="eastAsia" w:ascii="宋体" w:hAnsi="宋体" w:cs="宋体"/>
          <w:kern w:val="0"/>
          <w:sz w:val="24"/>
          <w:szCs w:val="24"/>
        </w:rPr>
        <w:t>附件3：索赔</w:t>
      </w:r>
    </w:p>
    <w:p w14:paraId="0DBB61E9">
      <w:pPr>
        <w:widowControl/>
        <w:spacing w:line="360" w:lineRule="auto"/>
        <w:jc w:val="left"/>
        <w:rPr>
          <w:rFonts w:ascii="宋体" w:hAnsi="宋体" w:cs="宋体"/>
          <w:kern w:val="0"/>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016C8C8A">
      <w:pPr>
        <w:widowControl/>
        <w:spacing w:line="360" w:lineRule="auto"/>
        <w:jc w:val="left"/>
        <w:rPr>
          <w:rFonts w:ascii="宋体" w:hAnsi="宋体" w:cs="宋体"/>
          <w:kern w:val="0"/>
          <w:sz w:val="28"/>
          <w:szCs w:val="28"/>
        </w:rPr>
      </w:pPr>
      <w:r>
        <w:rPr>
          <w:rFonts w:hint="eastAsia" w:ascii="宋体" w:hAnsi="宋体" w:cs="宋体"/>
          <w:kern w:val="0"/>
          <w:sz w:val="28"/>
          <w:szCs w:val="28"/>
        </w:rPr>
        <w:t>附件1：技术协议</w:t>
      </w:r>
    </w:p>
    <w:p w14:paraId="643C44FA">
      <w:pPr>
        <w:spacing w:line="440" w:lineRule="exact"/>
        <w:rPr>
          <w:rFonts w:ascii="宋体" w:hAnsi="宋体" w:cs="宋体"/>
          <w:b/>
          <w:sz w:val="30"/>
          <w:szCs w:val="30"/>
        </w:rPr>
      </w:pPr>
      <w:bookmarkStart w:id="1" w:name="_Toc390360542"/>
      <w:bookmarkStart w:id="2" w:name="_Toc390373038"/>
      <w:r>
        <w:rPr>
          <w:rFonts w:hint="eastAsia" w:ascii="宋体" w:hAnsi="宋体" w:cs="宋体"/>
          <w:b/>
          <w:sz w:val="32"/>
          <w:szCs w:val="32"/>
        </w:rPr>
        <w:t>1.</w:t>
      </w:r>
      <w:r>
        <w:rPr>
          <w:rFonts w:hint="eastAsia" w:ascii="宋体" w:hAnsi="宋体" w:cs="宋体"/>
          <w:b/>
          <w:sz w:val="30"/>
          <w:szCs w:val="30"/>
        </w:rPr>
        <w:t>中标产品技术参数明细</w:t>
      </w:r>
    </w:p>
    <w:p w14:paraId="60DFB853">
      <w:pPr>
        <w:spacing w:line="440" w:lineRule="exact"/>
        <w:rPr>
          <w:rFonts w:ascii="宋体" w:hAnsi="宋体" w:cs="宋体"/>
          <w:kern w:val="0"/>
          <w:sz w:val="24"/>
          <w:szCs w:val="24"/>
        </w:rPr>
      </w:pPr>
      <w:r>
        <w:rPr>
          <w:rFonts w:hint="eastAsia" w:ascii="宋体" w:hAnsi="宋体" w:cs="宋体"/>
          <w:kern w:val="0"/>
          <w:sz w:val="24"/>
          <w:szCs w:val="24"/>
        </w:rPr>
        <w:t>我公司承诺：合同中数列产品均满足标书及使用要求，无任何负偏离。并与所供产品完全一致。</w:t>
      </w:r>
    </w:p>
    <w:bookmarkEnd w:id="1"/>
    <w:bookmarkEnd w:id="2"/>
    <w:p w14:paraId="20C56F82">
      <w:pPr>
        <w:spacing w:line="440" w:lineRule="exact"/>
        <w:rPr>
          <w:rFonts w:ascii="宋体" w:hAnsi="宋体" w:cs="宋体"/>
          <w:sz w:val="24"/>
          <w:szCs w:val="24"/>
        </w:rPr>
      </w:pPr>
      <w:r>
        <w:rPr>
          <w:rFonts w:hint="eastAsia" w:ascii="宋体" w:hAnsi="宋体" w:cs="宋体"/>
          <w:b/>
          <w:bCs/>
          <w:sz w:val="24"/>
          <w:szCs w:val="24"/>
        </w:rPr>
        <w:t>1.1设备特性</w:t>
      </w:r>
    </w:p>
    <w:p w14:paraId="29401774">
      <w:pPr>
        <w:spacing w:line="440" w:lineRule="exact"/>
        <w:rPr>
          <w:rFonts w:ascii="宋体" w:hAnsi="宋体" w:cs="宋体"/>
          <w:b/>
          <w:sz w:val="24"/>
          <w:szCs w:val="24"/>
        </w:rPr>
      </w:pPr>
      <w:r>
        <w:rPr>
          <w:rFonts w:hint="eastAsia" w:ascii="宋体" w:hAnsi="宋体" w:cs="宋体"/>
          <w:b/>
          <w:bCs/>
          <w:sz w:val="24"/>
          <w:szCs w:val="24"/>
        </w:rPr>
        <w:t>1.2</w:t>
      </w:r>
      <w:r>
        <w:rPr>
          <w:rFonts w:hint="eastAsia" w:ascii="宋体" w:hAnsi="宋体" w:cs="宋体"/>
          <w:b/>
          <w:sz w:val="24"/>
          <w:szCs w:val="24"/>
        </w:rPr>
        <w:t>设备用途</w:t>
      </w:r>
    </w:p>
    <w:p w14:paraId="5ADDE330">
      <w:pPr>
        <w:spacing w:line="440" w:lineRule="exact"/>
        <w:rPr>
          <w:rFonts w:ascii="宋体" w:hAnsi="宋体" w:cs="宋体"/>
          <w:b/>
          <w:sz w:val="24"/>
          <w:szCs w:val="24"/>
        </w:rPr>
      </w:pPr>
      <w:r>
        <w:rPr>
          <w:rFonts w:hint="eastAsia" w:ascii="宋体" w:hAnsi="宋体" w:cs="宋体"/>
          <w:b/>
          <w:sz w:val="24"/>
          <w:szCs w:val="24"/>
        </w:rPr>
        <w:t>1.3设备主要参数指标</w:t>
      </w:r>
    </w:p>
    <w:p w14:paraId="3727A5FF">
      <w:pPr>
        <w:spacing w:line="440" w:lineRule="exact"/>
        <w:rPr>
          <w:rFonts w:ascii="宋体" w:hAnsi="宋体" w:cs="宋体"/>
          <w:b/>
          <w:sz w:val="24"/>
          <w:szCs w:val="24"/>
        </w:rPr>
      </w:pPr>
      <w:r>
        <w:rPr>
          <w:rFonts w:hint="eastAsia" w:ascii="宋体" w:hAnsi="宋体" w:cs="宋体"/>
          <w:b/>
          <w:sz w:val="24"/>
          <w:szCs w:val="24"/>
        </w:rPr>
        <w:t xml:space="preserve">1.4质量要求与安全要求 </w:t>
      </w:r>
    </w:p>
    <w:p w14:paraId="2C7DF221">
      <w:pPr>
        <w:spacing w:line="440" w:lineRule="exact"/>
        <w:rPr>
          <w:rFonts w:ascii="宋体" w:hAnsi="宋体" w:cs="宋体"/>
          <w:b/>
          <w:sz w:val="24"/>
          <w:szCs w:val="24"/>
        </w:rPr>
      </w:pPr>
      <w:r>
        <w:rPr>
          <w:rFonts w:hint="eastAsia" w:ascii="宋体" w:hAnsi="宋体" w:cs="宋体"/>
          <w:b/>
          <w:sz w:val="24"/>
          <w:szCs w:val="24"/>
        </w:rPr>
        <w:t>1.5设备运行一般流程图</w:t>
      </w:r>
    </w:p>
    <w:p w14:paraId="4DFC212B">
      <w:pPr>
        <w:spacing w:line="440" w:lineRule="exact"/>
        <w:rPr>
          <w:rFonts w:ascii="宋体" w:hAnsi="宋体" w:cs="宋体"/>
        </w:rPr>
      </w:pPr>
      <w:r>
        <w:rPr>
          <w:rFonts w:hint="eastAsia" w:ascii="宋体" w:hAnsi="宋体" w:cs="宋体"/>
        </w:rPr>
        <w:t xml:space="preserve"> </w:t>
      </w:r>
    </w:p>
    <w:p w14:paraId="241E6D3E">
      <w:pPr>
        <w:spacing w:line="440" w:lineRule="exact"/>
        <w:rPr>
          <w:rFonts w:ascii="宋体" w:hAnsi="宋体" w:cs="宋体"/>
          <w:b/>
          <w:sz w:val="30"/>
          <w:szCs w:val="30"/>
        </w:rPr>
      </w:pPr>
      <w:r>
        <w:rPr>
          <w:rFonts w:hint="eastAsia" w:ascii="宋体" w:hAnsi="宋体" w:cs="宋体"/>
          <w:b/>
          <w:sz w:val="30"/>
          <w:szCs w:val="30"/>
        </w:rPr>
        <w:t>2售后服务内容</w:t>
      </w:r>
      <w:bookmarkStart w:id="3" w:name="_Toc390360557"/>
      <w:bookmarkStart w:id="4" w:name="_Toc373263358"/>
      <w:bookmarkStart w:id="5" w:name="_Toc390373053"/>
    </w:p>
    <w:p w14:paraId="31B17200">
      <w:pPr>
        <w:spacing w:line="440" w:lineRule="exact"/>
        <w:rPr>
          <w:rFonts w:ascii="宋体" w:hAnsi="宋体" w:cs="宋体"/>
          <w:b/>
          <w:sz w:val="24"/>
          <w:szCs w:val="24"/>
        </w:rPr>
      </w:pPr>
      <w:bookmarkStart w:id="6" w:name="_Toc390360558"/>
      <w:bookmarkStart w:id="7" w:name="_Toc373263359"/>
      <w:bookmarkStart w:id="8" w:name="_Toc390373054"/>
      <w:r>
        <w:rPr>
          <w:rFonts w:hint="eastAsia" w:ascii="宋体" w:hAnsi="宋体" w:cs="宋体"/>
          <w:b/>
          <w:sz w:val="24"/>
          <w:szCs w:val="24"/>
        </w:rPr>
        <w:t>2.1技术服务、售后服务体系、故障响应时间、应急维修措施</w:t>
      </w:r>
      <w:bookmarkEnd w:id="6"/>
      <w:bookmarkEnd w:id="7"/>
      <w:bookmarkEnd w:id="8"/>
    </w:p>
    <w:p w14:paraId="4FE51102">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2.1.1技术服务措施</w:t>
      </w:r>
    </w:p>
    <w:p w14:paraId="7EC58B5D">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2.1.2售后服务体系</w:t>
      </w:r>
    </w:p>
    <w:p w14:paraId="2F5D9796">
      <w:pPr>
        <w:spacing w:line="440" w:lineRule="exact"/>
        <w:ind w:firstLine="480" w:firstLineChars="200"/>
        <w:jc w:val="left"/>
        <w:rPr>
          <w:rFonts w:ascii="宋体" w:hAnsi="宋体" w:cs="宋体"/>
          <w:sz w:val="24"/>
          <w:szCs w:val="24"/>
        </w:rPr>
      </w:pPr>
      <w:r>
        <w:rPr>
          <w:rFonts w:hint="eastAsia" w:ascii="宋体" w:hAnsi="宋体" w:cs="宋体"/>
          <w:sz w:val="24"/>
          <w:szCs w:val="24"/>
        </w:rPr>
        <w:t>质保期内服务</w:t>
      </w:r>
    </w:p>
    <w:p w14:paraId="24F9C6AB">
      <w:pPr>
        <w:spacing w:line="440" w:lineRule="exact"/>
        <w:ind w:firstLine="480" w:firstLineChars="200"/>
        <w:jc w:val="left"/>
        <w:rPr>
          <w:rFonts w:ascii="宋体" w:hAnsi="宋体" w:cs="宋体"/>
          <w:sz w:val="24"/>
          <w:szCs w:val="24"/>
        </w:rPr>
      </w:pPr>
      <w:r>
        <w:rPr>
          <w:rFonts w:hint="eastAsia" w:ascii="宋体" w:hAnsi="宋体" w:cs="宋体"/>
          <w:sz w:val="24"/>
          <w:szCs w:val="24"/>
        </w:rPr>
        <w:t>质保期外服务</w:t>
      </w:r>
    </w:p>
    <w:p w14:paraId="51659BCD">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2.1.3故障响应时间</w:t>
      </w:r>
    </w:p>
    <w:p w14:paraId="0D633FF7">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2.1.4应急维修措施</w:t>
      </w:r>
    </w:p>
    <w:p w14:paraId="70ADCEAF">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2.1.5易损件、备件的供应</w:t>
      </w:r>
    </w:p>
    <w:p w14:paraId="280B98B2">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2.1.6质保期以外技术支持或技术服务</w:t>
      </w:r>
    </w:p>
    <w:p w14:paraId="3E356999">
      <w:pPr>
        <w:spacing w:line="440" w:lineRule="exact"/>
        <w:ind w:right="200" w:rightChars="100" w:firstLine="480" w:firstLineChars="200"/>
        <w:rPr>
          <w:rFonts w:ascii="宋体" w:hAnsi="宋体" w:cs="宋体"/>
          <w:sz w:val="24"/>
          <w:szCs w:val="24"/>
        </w:rPr>
      </w:pPr>
      <w:r>
        <w:rPr>
          <w:rFonts w:hint="eastAsia" w:ascii="宋体" w:hAnsi="宋体" w:cs="宋体"/>
          <w:sz w:val="24"/>
          <w:szCs w:val="24"/>
        </w:rPr>
        <w:t>2.1.7制定切实可行的操作规程和使用指南</w:t>
      </w:r>
    </w:p>
    <w:p w14:paraId="785E3888">
      <w:pPr>
        <w:spacing w:line="440" w:lineRule="exact"/>
        <w:rPr>
          <w:rFonts w:ascii="宋体" w:hAnsi="宋体" w:cs="宋体"/>
          <w:b/>
          <w:sz w:val="24"/>
          <w:szCs w:val="24"/>
        </w:rPr>
      </w:pPr>
    </w:p>
    <w:p w14:paraId="23255337">
      <w:pPr>
        <w:spacing w:line="440" w:lineRule="exact"/>
        <w:rPr>
          <w:rFonts w:ascii="宋体" w:hAnsi="宋体" w:cs="宋体"/>
          <w:b/>
          <w:sz w:val="30"/>
          <w:szCs w:val="30"/>
        </w:rPr>
      </w:pPr>
      <w:r>
        <w:rPr>
          <w:rFonts w:hint="eastAsia" w:ascii="宋体" w:hAnsi="宋体" w:cs="宋体"/>
          <w:b/>
          <w:sz w:val="30"/>
          <w:szCs w:val="30"/>
        </w:rPr>
        <w:t>3 培训服务内容</w:t>
      </w:r>
    </w:p>
    <w:bookmarkEnd w:id="3"/>
    <w:bookmarkEnd w:id="4"/>
    <w:bookmarkEnd w:id="5"/>
    <w:p w14:paraId="0C9F26F3">
      <w:pPr>
        <w:spacing w:line="440" w:lineRule="exact"/>
        <w:ind w:right="200" w:rightChars="100"/>
        <w:rPr>
          <w:rFonts w:ascii="宋体" w:hAnsi="宋体" w:cs="宋体"/>
          <w:b/>
          <w:sz w:val="24"/>
          <w:szCs w:val="24"/>
        </w:rPr>
      </w:pPr>
      <w:r>
        <w:rPr>
          <w:rFonts w:hint="eastAsia" w:ascii="宋体" w:hAnsi="宋体" w:cs="宋体"/>
          <w:b/>
          <w:sz w:val="24"/>
          <w:szCs w:val="24"/>
        </w:rPr>
        <w:t>3.1培训方案</w:t>
      </w:r>
    </w:p>
    <w:p w14:paraId="738F9186">
      <w:pPr>
        <w:spacing w:line="440" w:lineRule="exact"/>
        <w:ind w:firstLine="480" w:firstLineChars="200"/>
        <w:rPr>
          <w:rFonts w:ascii="宋体" w:hAnsi="宋体" w:cs="宋体"/>
          <w:sz w:val="24"/>
          <w:szCs w:val="24"/>
        </w:rPr>
      </w:pPr>
      <w:r>
        <w:rPr>
          <w:rFonts w:hint="eastAsia" w:ascii="宋体" w:hAnsi="宋体" w:cs="宋体"/>
          <w:sz w:val="24"/>
          <w:szCs w:val="24"/>
        </w:rPr>
        <w:t>培训目标和要求</w:t>
      </w:r>
    </w:p>
    <w:p w14:paraId="198E8319">
      <w:pPr>
        <w:spacing w:line="440" w:lineRule="exact"/>
        <w:jc w:val="left"/>
        <w:rPr>
          <w:rFonts w:ascii="宋体" w:hAnsi="宋体" w:cs="宋体"/>
          <w:b/>
          <w:sz w:val="24"/>
          <w:szCs w:val="24"/>
        </w:rPr>
      </w:pPr>
      <w:r>
        <w:rPr>
          <w:rFonts w:hint="eastAsia" w:ascii="宋体" w:hAnsi="宋体" w:cs="宋体"/>
          <w:b/>
          <w:sz w:val="24"/>
          <w:szCs w:val="24"/>
        </w:rPr>
        <w:t>3.2培训对象</w:t>
      </w:r>
    </w:p>
    <w:p w14:paraId="6FC5947F">
      <w:pPr>
        <w:spacing w:line="440" w:lineRule="exact"/>
        <w:rPr>
          <w:rFonts w:ascii="宋体" w:hAnsi="宋体" w:cs="宋体"/>
          <w:b/>
          <w:sz w:val="24"/>
          <w:szCs w:val="24"/>
        </w:rPr>
      </w:pPr>
      <w:r>
        <w:rPr>
          <w:rFonts w:hint="eastAsia" w:ascii="宋体" w:hAnsi="宋体" w:cs="宋体"/>
          <w:b/>
          <w:sz w:val="24"/>
          <w:szCs w:val="24"/>
        </w:rPr>
        <w:t>3.3培训方式</w:t>
      </w:r>
    </w:p>
    <w:p w14:paraId="5B679DB9">
      <w:pPr>
        <w:spacing w:line="440" w:lineRule="exact"/>
        <w:ind w:firstLine="480" w:firstLineChars="200"/>
        <w:rPr>
          <w:rFonts w:ascii="宋体" w:hAnsi="宋体" w:cs="宋体"/>
          <w:sz w:val="24"/>
          <w:szCs w:val="24"/>
        </w:rPr>
      </w:pPr>
      <w:r>
        <w:rPr>
          <w:rFonts w:hint="eastAsia" w:ascii="宋体" w:hAnsi="宋体" w:cs="宋体"/>
          <w:sz w:val="24"/>
          <w:szCs w:val="24"/>
        </w:rPr>
        <w:t>3.3.1系统使用培训：</w:t>
      </w:r>
    </w:p>
    <w:p w14:paraId="174659BD">
      <w:pPr>
        <w:spacing w:line="440" w:lineRule="exact"/>
        <w:ind w:firstLine="480" w:firstLineChars="200"/>
        <w:rPr>
          <w:rFonts w:ascii="宋体" w:hAnsi="宋体" w:cs="宋体"/>
          <w:bCs/>
          <w:sz w:val="24"/>
          <w:szCs w:val="24"/>
        </w:rPr>
      </w:pPr>
      <w:bookmarkStart w:id="9" w:name="_Toc343188540"/>
      <w:bookmarkStart w:id="10" w:name="_Toc301613871"/>
      <w:bookmarkStart w:id="11" w:name="_Toc317944561"/>
      <w:bookmarkStart w:id="12" w:name="_Toc301812591"/>
      <w:bookmarkStart w:id="13" w:name="_Toc301634428"/>
      <w:bookmarkStart w:id="14" w:name="_Toc304629018"/>
      <w:bookmarkStart w:id="15" w:name="_Toc312502614"/>
      <w:bookmarkStart w:id="16" w:name="_Toc316311443"/>
      <w:bookmarkStart w:id="17" w:name="_Toc302460939"/>
      <w:bookmarkStart w:id="18" w:name="_Toc333266004"/>
      <w:bookmarkStart w:id="19" w:name="_Toc313387932"/>
      <w:r>
        <w:rPr>
          <w:rFonts w:hint="eastAsia" w:ascii="宋体" w:hAnsi="宋体" w:cs="宋体"/>
          <w:bCs/>
          <w:sz w:val="24"/>
          <w:szCs w:val="24"/>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cs="宋体"/>
          <w:bCs/>
          <w:sz w:val="24"/>
          <w:szCs w:val="24"/>
        </w:rPr>
        <w:t>：</w:t>
      </w:r>
    </w:p>
    <w:p w14:paraId="079FAE83">
      <w:pPr>
        <w:spacing w:line="440" w:lineRule="exact"/>
        <w:ind w:firstLine="480" w:firstLineChars="200"/>
        <w:rPr>
          <w:rFonts w:ascii="宋体" w:hAnsi="宋体" w:cs="宋体"/>
          <w:sz w:val="24"/>
          <w:szCs w:val="24"/>
        </w:rPr>
      </w:pPr>
      <w:r>
        <w:rPr>
          <w:rFonts w:hint="eastAsia" w:ascii="宋体" w:hAnsi="宋体" w:cs="宋体"/>
          <w:sz w:val="24"/>
          <w:szCs w:val="24"/>
        </w:rPr>
        <w:t>3.3.3培训教师安排</w:t>
      </w:r>
    </w:p>
    <w:p w14:paraId="14CD658E">
      <w:pPr>
        <w:spacing w:line="440" w:lineRule="exact"/>
        <w:ind w:firstLine="480" w:firstLineChars="200"/>
        <w:rPr>
          <w:rFonts w:ascii="宋体" w:hAnsi="宋体" w:cs="宋体"/>
          <w:sz w:val="24"/>
          <w:szCs w:val="24"/>
        </w:rPr>
      </w:pPr>
      <w:r>
        <w:rPr>
          <w:rFonts w:hint="eastAsia" w:ascii="宋体" w:hAnsi="宋体" w:cs="宋体"/>
          <w:sz w:val="24"/>
          <w:szCs w:val="24"/>
        </w:rPr>
        <w:t>3.3.4培训时间安排</w:t>
      </w:r>
    </w:p>
    <w:p w14:paraId="7AC703BB">
      <w:pPr>
        <w:spacing w:line="440" w:lineRule="exact"/>
        <w:ind w:firstLine="480" w:firstLineChars="200"/>
        <w:rPr>
          <w:rFonts w:ascii="宋体" w:hAnsi="宋体" w:cs="宋体"/>
          <w:sz w:val="24"/>
          <w:szCs w:val="24"/>
        </w:rPr>
      </w:pPr>
      <w:r>
        <w:rPr>
          <w:rFonts w:hint="eastAsia" w:ascii="宋体" w:hAnsi="宋体" w:cs="宋体"/>
          <w:sz w:val="24"/>
          <w:szCs w:val="24"/>
        </w:rPr>
        <w:t>3.3.5培训及安全保证</w:t>
      </w:r>
    </w:p>
    <w:p w14:paraId="6B0CDC71">
      <w:pPr>
        <w:spacing w:line="440" w:lineRule="exact"/>
        <w:ind w:firstLine="480" w:firstLineChars="200"/>
        <w:rPr>
          <w:rFonts w:ascii="宋体" w:hAnsi="宋体" w:cs="宋体"/>
          <w:snapToGrid w:val="0"/>
          <w:sz w:val="24"/>
          <w:szCs w:val="24"/>
        </w:rPr>
      </w:pPr>
      <w:r>
        <w:rPr>
          <w:rFonts w:hint="eastAsia" w:ascii="宋体" w:hAnsi="宋体" w:cs="宋体"/>
          <w:snapToGrid w:val="0"/>
          <w:sz w:val="24"/>
          <w:szCs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C40FAE4">
      <w:pPr>
        <w:spacing w:line="440" w:lineRule="exact"/>
        <w:ind w:firstLine="480" w:firstLineChars="200"/>
        <w:rPr>
          <w:rFonts w:ascii="宋体" w:hAnsi="宋体" w:cs="宋体"/>
          <w:sz w:val="24"/>
          <w:szCs w:val="24"/>
        </w:rPr>
      </w:pPr>
      <w:r>
        <w:rPr>
          <w:rFonts w:hint="eastAsia" w:ascii="宋体" w:hAnsi="宋体" w:cs="宋体"/>
          <w:sz w:val="24"/>
          <w:szCs w:val="24"/>
        </w:rPr>
        <w:t>② 设备本体对可能造成伤害的部位均应采用防护板或防护网隔离并有醒目警示。</w:t>
      </w:r>
    </w:p>
    <w:p w14:paraId="03397F21">
      <w:pPr>
        <w:spacing w:line="440" w:lineRule="exact"/>
        <w:ind w:firstLine="480" w:firstLineChars="200"/>
        <w:rPr>
          <w:rFonts w:ascii="宋体" w:hAnsi="宋体" w:cs="宋体"/>
          <w:sz w:val="24"/>
          <w:szCs w:val="24"/>
        </w:rPr>
      </w:pPr>
      <w:r>
        <w:rPr>
          <w:rFonts w:hint="eastAsia" w:ascii="宋体" w:hAnsi="宋体" w:cs="宋体"/>
          <w:sz w:val="24"/>
          <w:szCs w:val="24"/>
        </w:rPr>
        <w:t>③ 所用电气元件均按照国标选配，确保稳定安全，符合三防要求。</w:t>
      </w:r>
    </w:p>
    <w:p w14:paraId="53572981">
      <w:pPr>
        <w:spacing w:line="440" w:lineRule="exact"/>
        <w:rPr>
          <w:rFonts w:ascii="宋体" w:hAnsi="宋体" w:cs="宋体"/>
          <w:b/>
        </w:rPr>
      </w:pPr>
      <w:bookmarkStart w:id="20" w:name="_Toc345966650"/>
      <w:bookmarkStart w:id="21" w:name="_Toc345966825"/>
      <w:bookmarkStart w:id="22" w:name="_Toc346025578"/>
    </w:p>
    <w:p w14:paraId="3950EF63">
      <w:pPr>
        <w:numPr>
          <w:ilvl w:val="1"/>
          <w:numId w:val="1"/>
        </w:numPr>
        <w:spacing w:line="440" w:lineRule="exact"/>
        <w:ind w:left="0" w:firstLine="0"/>
        <w:rPr>
          <w:rFonts w:ascii="宋体" w:hAnsi="宋体" w:cs="宋体"/>
          <w:b/>
          <w:vanish/>
          <w:sz w:val="28"/>
        </w:rPr>
      </w:pPr>
    </w:p>
    <w:p w14:paraId="767523D0">
      <w:pPr>
        <w:numPr>
          <w:ilvl w:val="1"/>
          <w:numId w:val="1"/>
        </w:numPr>
        <w:spacing w:line="440" w:lineRule="exact"/>
        <w:ind w:left="0" w:firstLine="0"/>
        <w:rPr>
          <w:rFonts w:ascii="宋体" w:hAnsi="宋体" w:cs="宋体"/>
          <w:b/>
          <w:vanish/>
          <w:sz w:val="28"/>
        </w:rPr>
      </w:pPr>
    </w:p>
    <w:p w14:paraId="652EBD6B">
      <w:pPr>
        <w:numPr>
          <w:ilvl w:val="1"/>
          <w:numId w:val="1"/>
        </w:numPr>
        <w:spacing w:line="440" w:lineRule="exact"/>
        <w:ind w:left="0" w:firstLine="0"/>
        <w:rPr>
          <w:rFonts w:ascii="宋体" w:hAnsi="宋体" w:cs="宋体"/>
          <w:b/>
          <w:vanish/>
          <w:sz w:val="28"/>
        </w:rPr>
      </w:pPr>
    </w:p>
    <w:p w14:paraId="1D03585E">
      <w:pPr>
        <w:numPr>
          <w:ilvl w:val="1"/>
          <w:numId w:val="1"/>
        </w:numPr>
        <w:spacing w:line="440" w:lineRule="exact"/>
        <w:ind w:left="0" w:firstLine="0"/>
        <w:rPr>
          <w:rFonts w:ascii="宋体" w:hAnsi="宋体" w:cs="宋体"/>
          <w:b/>
          <w:vanish/>
          <w:sz w:val="28"/>
        </w:rPr>
      </w:pPr>
    </w:p>
    <w:bookmarkEnd w:id="20"/>
    <w:bookmarkEnd w:id="21"/>
    <w:bookmarkEnd w:id="22"/>
    <w:p w14:paraId="1646E4CE">
      <w:pPr>
        <w:spacing w:line="440" w:lineRule="exact"/>
        <w:rPr>
          <w:rFonts w:ascii="宋体" w:hAnsi="宋体" w:cs="宋体"/>
        </w:rPr>
      </w:pPr>
    </w:p>
    <w:p w14:paraId="56DDBEC4">
      <w:pPr>
        <w:spacing w:line="440" w:lineRule="exact"/>
        <w:ind w:firstLine="400" w:firstLineChars="200"/>
        <w:rPr>
          <w:rFonts w:ascii="宋体" w:hAnsi="宋体" w:cs="宋体"/>
        </w:rPr>
      </w:pPr>
    </w:p>
    <w:p w14:paraId="243B19A9">
      <w:pPr>
        <w:widowControl/>
        <w:spacing w:before="100" w:beforeAutospacing="1" w:after="100" w:afterAutospacing="1" w:line="320" w:lineRule="exact"/>
        <w:rPr>
          <w:rFonts w:ascii="宋体" w:hAnsi="宋体" w:cs="宋体"/>
          <w:b/>
          <w:sz w:val="24"/>
          <w:szCs w:val="22"/>
        </w:rPr>
      </w:pPr>
      <w:r>
        <w:rPr>
          <w:rFonts w:hint="eastAsia" w:ascii="宋体" w:hAnsi="宋体" w:cs="宋体"/>
          <w:b/>
          <w:sz w:val="24"/>
          <w:szCs w:val="22"/>
        </w:rPr>
        <w:t>甲方使用单位：西安建筑科技大学XX学院</w:t>
      </w:r>
      <w:r>
        <w:rPr>
          <w:rFonts w:hint="eastAsia" w:ascii="宋体" w:hAnsi="宋体" w:cs="宋体"/>
          <w:b/>
          <w:sz w:val="24"/>
          <w:szCs w:val="22"/>
        </w:rPr>
        <w:tab/>
      </w:r>
      <w:r>
        <w:rPr>
          <w:rFonts w:hint="eastAsia" w:ascii="宋体" w:hAnsi="宋体" w:cs="宋体"/>
          <w:b/>
          <w:sz w:val="24"/>
          <w:szCs w:val="22"/>
        </w:rPr>
        <w:t xml:space="preserve">          乙方： </w:t>
      </w:r>
    </w:p>
    <w:p w14:paraId="152BA82C">
      <w:pPr>
        <w:rPr>
          <w:rFonts w:ascii="宋体" w:hAnsi="宋体" w:cs="宋体"/>
          <w:b/>
          <w:sz w:val="24"/>
          <w:szCs w:val="22"/>
        </w:rPr>
      </w:pPr>
    </w:p>
    <w:p w14:paraId="0CA258DB">
      <w:pPr>
        <w:rPr>
          <w:rFonts w:ascii="宋体" w:hAnsi="宋体" w:cs="宋体"/>
          <w:b/>
          <w:sz w:val="24"/>
          <w:szCs w:val="22"/>
        </w:rPr>
      </w:pPr>
      <w:r>
        <w:rPr>
          <w:rFonts w:hint="eastAsia" w:ascii="宋体" w:hAnsi="宋体" w:cs="宋体"/>
          <w:b/>
          <w:sz w:val="24"/>
          <w:szCs w:val="22"/>
        </w:rPr>
        <w:t>负责人：                                        负责人：</w:t>
      </w:r>
    </w:p>
    <w:p w14:paraId="48F70C8C">
      <w:pPr>
        <w:rPr>
          <w:rFonts w:ascii="宋体" w:hAnsi="宋体" w:cs="宋体"/>
          <w:b/>
          <w:sz w:val="24"/>
          <w:szCs w:val="22"/>
        </w:rPr>
      </w:pPr>
    </w:p>
    <w:p w14:paraId="0CA66B1F">
      <w:pPr>
        <w:rPr>
          <w:rFonts w:ascii="宋体" w:hAnsi="宋体" w:cs="宋体"/>
          <w:b/>
          <w:sz w:val="24"/>
          <w:szCs w:val="22"/>
        </w:rPr>
      </w:pPr>
    </w:p>
    <w:p w14:paraId="7400744E">
      <w:pPr>
        <w:rPr>
          <w:rFonts w:ascii="宋体" w:hAnsi="宋体" w:cs="宋体"/>
          <w:szCs w:val="22"/>
        </w:rPr>
      </w:pPr>
    </w:p>
    <w:p w14:paraId="7A6823E8">
      <w:pPr>
        <w:widowControl/>
        <w:spacing w:line="360" w:lineRule="auto"/>
        <w:ind w:firstLine="480" w:firstLineChars="200"/>
        <w:jc w:val="left"/>
        <w:rPr>
          <w:rFonts w:ascii="宋体" w:hAnsi="宋体" w:cs="宋体"/>
          <w:sz w:val="24"/>
          <w:szCs w:val="24"/>
        </w:rPr>
      </w:pPr>
    </w:p>
    <w:p w14:paraId="569B99C8">
      <w:pPr>
        <w:rPr>
          <w:rFonts w:ascii="宋体" w:hAnsi="宋体" w:cs="宋体"/>
          <w:kern w:val="0"/>
          <w:sz w:val="28"/>
          <w:szCs w:val="28"/>
        </w:rPr>
      </w:pPr>
      <w:r>
        <w:rPr>
          <w:rFonts w:hint="eastAsia" w:ascii="宋体" w:hAnsi="宋体" w:cs="宋体"/>
          <w:kern w:val="0"/>
          <w:sz w:val="28"/>
          <w:szCs w:val="28"/>
        </w:rPr>
        <w:br w:type="page"/>
      </w:r>
    </w:p>
    <w:p w14:paraId="0BBFD43F">
      <w:pPr>
        <w:widowControl/>
        <w:spacing w:line="360" w:lineRule="auto"/>
        <w:jc w:val="left"/>
        <w:rPr>
          <w:rFonts w:ascii="宋体" w:hAnsi="宋体" w:cs="宋体"/>
          <w:kern w:val="0"/>
          <w:sz w:val="28"/>
          <w:szCs w:val="28"/>
        </w:rPr>
      </w:pPr>
      <w:r>
        <w:rPr>
          <w:rFonts w:hint="eastAsia" w:ascii="宋体" w:hAnsi="宋体" w:cs="宋体"/>
          <w:kern w:val="0"/>
          <w:sz w:val="28"/>
          <w:szCs w:val="28"/>
        </w:rPr>
        <w:t>附件2：验收方法及标准</w:t>
      </w:r>
    </w:p>
    <w:p w14:paraId="3F99A4DB">
      <w:pPr>
        <w:widowControl/>
        <w:wordWrap/>
        <w:autoSpaceDE/>
        <w:autoSpaceDN/>
        <w:spacing w:line="360" w:lineRule="auto"/>
        <w:jc w:val="center"/>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验收方法及标准</w:t>
      </w:r>
    </w:p>
    <w:p w14:paraId="514786F7">
      <w:pPr>
        <w:widowControl/>
        <w:spacing w:line="360" w:lineRule="auto"/>
        <w:ind w:firstLine="482" w:firstLineChars="200"/>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一、验收要求：</w:t>
      </w:r>
    </w:p>
    <w:p w14:paraId="7A90CAC3">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1.依据谈判文件、响应文件及技术澄清文件（函）中的技术标准执行；</w:t>
      </w:r>
    </w:p>
    <w:p w14:paraId="5915A898">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2.对本项目的技术指标要求中的下列内容指标须在验收过程中重点关注，且各项指标均需达到招标要求才能通过验收：</w:t>
      </w:r>
    </w:p>
    <w:p w14:paraId="08F6D8A3">
      <w:pPr>
        <w:widowControl/>
        <w:spacing w:line="360" w:lineRule="auto"/>
        <w:ind w:firstLine="480" w:firstLineChars="200"/>
        <w:jc w:val="left"/>
        <w:rPr>
          <w:rFonts w:hint="eastAsia" w:ascii="宋体" w:hAnsi="宋体" w:cs="宋体"/>
          <w:sz w:val="24"/>
          <w:szCs w:val="24"/>
          <w:lang w:eastAsia="zh-CN"/>
        </w:rPr>
      </w:pPr>
      <w:r>
        <w:rPr>
          <w:rFonts w:hint="eastAsia" w:ascii="宋体" w:hAnsi="宋体" w:cs="宋体"/>
          <w:sz w:val="24"/>
          <w:szCs w:val="24"/>
          <w:lang w:val="en-US" w:eastAsia="zh-CN"/>
        </w:rPr>
        <w:t>2.8</w:t>
      </w:r>
      <w:r>
        <w:rPr>
          <w:rFonts w:hint="eastAsia" w:hAnsi="宋体" w:cs="仿宋"/>
          <w:bCs/>
          <w:sz w:val="24"/>
          <w:szCs w:val="24"/>
          <w:highlight w:val="none"/>
        </w:rPr>
        <w:t>视觉扩展开发模块：</w:t>
      </w:r>
      <w:r>
        <w:rPr>
          <w:rFonts w:ascii="宋体" w:hAnsi="宋体" w:eastAsia="宋体" w:cs="宋体"/>
          <w:sz w:val="24"/>
          <w:szCs w:val="24"/>
        </w:rPr>
        <w:t>配置工业级彩色相机不少于1套；</w:t>
      </w:r>
      <w:r>
        <w:rPr>
          <w:rFonts w:hint="eastAsia" w:hAnsi="宋体" w:cs="仿宋"/>
          <w:bCs/>
          <w:sz w:val="24"/>
          <w:szCs w:val="24"/>
          <w:highlight w:val="none"/>
        </w:rPr>
        <w:t>有效</w:t>
      </w:r>
      <w:r>
        <w:rPr>
          <w:rFonts w:hint="eastAsia" w:hAnsi="宋体" w:cs="仿宋"/>
          <w:bCs/>
          <w:sz w:val="24"/>
          <w:szCs w:val="24"/>
          <w:highlight w:val="none"/>
          <w:lang w:val="en-US" w:eastAsia="zh-CN"/>
        </w:rPr>
        <w:t>像素</w:t>
      </w:r>
      <w:r>
        <w:rPr>
          <w:rFonts w:hint="eastAsia" w:hAnsi="宋体" w:cs="仿宋"/>
          <w:bCs/>
          <w:sz w:val="24"/>
          <w:szCs w:val="24"/>
          <w:highlight w:val="none"/>
        </w:rPr>
        <w:t>≥2500万，分辨率≥5120x5120，</w:t>
      </w:r>
      <w:r>
        <w:rPr>
          <w:rFonts w:ascii="宋体" w:hAnsi="宋体" w:eastAsia="宋体" w:cs="宋体"/>
          <w:sz w:val="24"/>
          <w:szCs w:val="24"/>
        </w:rPr>
        <w:t>最大采集帧率≥</w:t>
      </w:r>
      <w:r>
        <w:rPr>
          <w:rFonts w:hint="eastAsia" w:ascii="宋体" w:hAnsi="宋体" w:cs="宋体"/>
          <w:sz w:val="24"/>
          <w:szCs w:val="24"/>
          <w:lang w:val="en-US" w:eastAsia="zh-CN"/>
        </w:rPr>
        <w:t>40</w:t>
      </w:r>
      <w:r>
        <w:rPr>
          <w:rFonts w:ascii="宋体" w:hAnsi="宋体" w:eastAsia="宋体" w:cs="宋体"/>
          <w:sz w:val="24"/>
          <w:szCs w:val="24"/>
        </w:rPr>
        <w:t>fps；支持</w:t>
      </w:r>
      <w:r>
        <w:rPr>
          <w:rFonts w:hint="eastAsia" w:ascii="宋体" w:hAnsi="宋体" w:cs="宋体"/>
          <w:sz w:val="24"/>
          <w:szCs w:val="24"/>
          <w:lang w:val="en-US" w:eastAsia="zh-CN"/>
        </w:rPr>
        <w:t>12</w:t>
      </w:r>
      <w:r>
        <w:rPr>
          <w:rFonts w:ascii="宋体" w:hAnsi="宋体" w:eastAsia="宋体" w:cs="宋体"/>
          <w:sz w:val="24"/>
          <w:szCs w:val="24"/>
        </w:rPr>
        <w:t>bit及以上图像输出；支持GigE Vision、GenICam等工业视觉标准协议；提供C/C++、C#、Python、Java等主流开发语言SDK；支持OpenCV、ROS2等开发环境</w:t>
      </w:r>
      <w:r>
        <w:rPr>
          <w:rFonts w:hint="eastAsia" w:ascii="宋体" w:hAnsi="宋体" w:cs="宋体"/>
          <w:sz w:val="24"/>
          <w:szCs w:val="24"/>
          <w:lang w:eastAsia="zh-CN"/>
        </w:rPr>
        <w:t>；</w:t>
      </w:r>
    </w:p>
    <w:p w14:paraId="35BC28AF">
      <w:pPr>
        <w:widowControl/>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2.9</w:t>
      </w:r>
      <w:r>
        <w:rPr>
          <w:rFonts w:hint="eastAsia" w:hAnsi="宋体" w:cs="仿宋"/>
          <w:bCs/>
          <w:sz w:val="24"/>
          <w:szCs w:val="24"/>
        </w:rPr>
        <w:t>三维扫描模块：配置便携式三维激光扫描设备不少于1套；连续工作时间≥1</w:t>
      </w:r>
      <w:r>
        <w:rPr>
          <w:rFonts w:hint="eastAsia" w:hAnsi="宋体" w:cs="仿宋"/>
          <w:bCs/>
          <w:sz w:val="24"/>
          <w:szCs w:val="24"/>
          <w:lang w:val="en-US" w:eastAsia="zh-CN"/>
        </w:rPr>
        <w:t>5</w:t>
      </w:r>
      <w:r>
        <w:rPr>
          <w:rFonts w:hint="eastAsia" w:hAnsi="宋体" w:cs="仿宋"/>
          <w:bCs/>
          <w:sz w:val="24"/>
          <w:szCs w:val="24"/>
        </w:rPr>
        <w:t>0min；存储容量≥</w:t>
      </w:r>
      <w:r>
        <w:rPr>
          <w:rFonts w:hint="eastAsia" w:hAnsi="宋体" w:cs="仿宋"/>
          <w:bCs/>
          <w:sz w:val="24"/>
          <w:szCs w:val="24"/>
          <w:lang w:val="en-US" w:eastAsia="zh-CN"/>
        </w:rPr>
        <w:t>256</w:t>
      </w:r>
      <w:r>
        <w:rPr>
          <w:rFonts w:hint="eastAsia" w:hAnsi="宋体" w:cs="仿宋"/>
          <w:bCs/>
          <w:sz w:val="24"/>
          <w:szCs w:val="24"/>
        </w:rPr>
        <w:t>GB；支持WiFi无线通信；相机分辨率≥1600万像素</w:t>
      </w:r>
      <w:r>
        <w:rPr>
          <w:rFonts w:hint="eastAsia" w:hAnsi="宋体" w:cs="仿宋"/>
          <w:bCs/>
          <w:sz w:val="24"/>
          <w:szCs w:val="24"/>
          <w:lang w:eastAsia="zh-CN"/>
        </w:rPr>
        <w:t>，</w:t>
      </w:r>
      <w:r>
        <w:rPr>
          <w:rFonts w:hint="eastAsia" w:hAnsi="宋体" w:cs="仿宋"/>
          <w:bCs/>
          <w:sz w:val="24"/>
          <w:szCs w:val="24"/>
          <w:lang w:val="en-US" w:eastAsia="zh-CN"/>
        </w:rPr>
        <w:t>数量：≥</w:t>
      </w:r>
      <w:r>
        <w:rPr>
          <w:rFonts w:hint="eastAsia" w:hAnsi="宋体" w:cs="仿宋"/>
          <w:bCs/>
          <w:sz w:val="24"/>
          <w:szCs w:val="24"/>
        </w:rPr>
        <w:t>2个</w:t>
      </w:r>
      <w:r>
        <w:rPr>
          <w:rFonts w:hint="eastAsia" w:hAnsi="宋体" w:cs="仿宋"/>
          <w:bCs/>
          <w:sz w:val="24"/>
          <w:szCs w:val="24"/>
          <w:lang w:eastAsia="zh-CN"/>
        </w:rPr>
        <w:t>；</w:t>
      </w:r>
      <w:r>
        <w:rPr>
          <w:rFonts w:hint="eastAsia" w:hAnsi="宋体" w:cs="仿宋"/>
          <w:bCs/>
          <w:sz w:val="24"/>
          <w:szCs w:val="24"/>
        </w:rPr>
        <w:t>集成激光雷达及视觉传感器</w:t>
      </w:r>
      <w:r>
        <w:rPr>
          <w:rFonts w:hint="eastAsia" w:hAnsi="宋体" w:cs="仿宋"/>
          <w:bCs/>
          <w:sz w:val="24"/>
          <w:szCs w:val="24"/>
          <w:lang w:eastAsia="zh-CN"/>
        </w:rPr>
        <w:t>，</w:t>
      </w:r>
      <w:r>
        <w:rPr>
          <w:rFonts w:hint="eastAsia" w:hAnsi="宋体" w:cs="仿宋"/>
          <w:bCs/>
          <w:sz w:val="24"/>
          <w:szCs w:val="24"/>
        </w:rPr>
        <w:t>点云采集速率≥20万点/秒</w:t>
      </w:r>
      <w:r>
        <w:rPr>
          <w:rFonts w:hint="eastAsia" w:hAnsi="宋体" w:cs="仿宋"/>
          <w:bCs/>
          <w:sz w:val="24"/>
          <w:szCs w:val="24"/>
          <w:lang w:eastAsia="zh-CN"/>
        </w:rPr>
        <w:t>，</w:t>
      </w:r>
      <w:r>
        <w:rPr>
          <w:rFonts w:hint="eastAsia" w:hAnsi="宋体" w:cs="仿宋"/>
          <w:bCs/>
          <w:sz w:val="24"/>
          <w:szCs w:val="24"/>
        </w:rPr>
        <w:t>测量距离≥</w:t>
      </w:r>
      <w:r>
        <w:rPr>
          <w:rFonts w:hint="eastAsia" w:hAnsi="宋体" w:cs="仿宋"/>
          <w:bCs/>
          <w:sz w:val="24"/>
          <w:szCs w:val="24"/>
          <w:lang w:val="en-US" w:eastAsia="zh-CN"/>
        </w:rPr>
        <w:t>7</w:t>
      </w:r>
      <w:r>
        <w:rPr>
          <w:rFonts w:hint="eastAsia" w:hAnsi="宋体" w:cs="仿宋"/>
          <w:bCs/>
          <w:sz w:val="24"/>
          <w:szCs w:val="24"/>
        </w:rPr>
        <w:t>0m</w:t>
      </w:r>
      <w:r>
        <w:rPr>
          <w:rFonts w:hint="eastAsia" w:hAnsi="宋体" w:cs="仿宋"/>
          <w:bCs/>
          <w:sz w:val="24"/>
          <w:szCs w:val="24"/>
          <w:lang w:eastAsia="zh-CN"/>
        </w:rPr>
        <w:t>，</w:t>
      </w:r>
      <w:r>
        <w:rPr>
          <w:rFonts w:hint="eastAsia" w:hAnsi="宋体" w:cs="仿宋"/>
          <w:bCs/>
          <w:sz w:val="24"/>
          <w:szCs w:val="24"/>
        </w:rPr>
        <w:t>支持RTK高精度定位</w:t>
      </w:r>
      <w:r>
        <w:rPr>
          <w:rFonts w:hint="eastAsia" w:hAnsi="宋体" w:cs="仿宋"/>
          <w:bCs/>
          <w:sz w:val="24"/>
          <w:szCs w:val="24"/>
          <w:lang w:eastAsia="zh-CN"/>
        </w:rPr>
        <w:t>，</w:t>
      </w:r>
      <w:r>
        <w:rPr>
          <w:rFonts w:hint="eastAsia" w:hAnsi="宋体" w:cs="仿宋"/>
          <w:bCs/>
          <w:sz w:val="24"/>
          <w:szCs w:val="24"/>
        </w:rPr>
        <w:t>平面定位精</w:t>
      </w:r>
      <w:bookmarkStart w:id="23" w:name="_GoBack"/>
      <w:bookmarkEnd w:id="23"/>
      <w:r>
        <w:rPr>
          <w:rFonts w:hint="eastAsia" w:hAnsi="宋体" w:cs="仿宋"/>
          <w:bCs/>
          <w:sz w:val="24"/>
          <w:szCs w:val="24"/>
        </w:rPr>
        <w:t>度≤0.8cm+1ppm；支持实时点云预览</w:t>
      </w:r>
      <w:r>
        <w:rPr>
          <w:rFonts w:hint="eastAsia" w:hAnsi="宋体" w:cs="仿宋"/>
          <w:bCs/>
          <w:sz w:val="24"/>
          <w:szCs w:val="24"/>
          <w:lang w:eastAsia="zh-CN"/>
        </w:rPr>
        <w:t>，</w:t>
      </w:r>
      <w:r>
        <w:rPr>
          <w:rFonts w:hint="eastAsia" w:hAnsi="宋体" w:cs="仿宋"/>
          <w:bCs/>
          <w:sz w:val="24"/>
          <w:szCs w:val="24"/>
        </w:rPr>
        <w:t>支持彩色点云生成</w:t>
      </w:r>
      <w:r>
        <w:rPr>
          <w:rFonts w:hint="eastAsia" w:hAnsi="宋体" w:cs="仿宋"/>
          <w:bCs/>
          <w:sz w:val="24"/>
          <w:szCs w:val="24"/>
          <w:lang w:eastAsia="zh-CN"/>
        </w:rPr>
        <w:t>，</w:t>
      </w:r>
      <w:r>
        <w:rPr>
          <w:rFonts w:hint="eastAsia" w:hAnsi="宋体" w:cs="仿宋"/>
          <w:bCs/>
          <w:sz w:val="24"/>
          <w:szCs w:val="24"/>
        </w:rPr>
        <w:t>点云厚度≤1cm；提供配套数据处理软件</w:t>
      </w:r>
      <w:r>
        <w:rPr>
          <w:rFonts w:hint="eastAsia" w:hAnsi="宋体" w:cs="仿宋"/>
          <w:bCs/>
          <w:sz w:val="24"/>
          <w:szCs w:val="24"/>
          <w:lang w:eastAsia="zh-CN"/>
        </w:rPr>
        <w:t>；</w:t>
      </w:r>
    </w:p>
    <w:p w14:paraId="5C1CC3E6">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2.11</w:t>
      </w:r>
      <w:r>
        <w:rPr>
          <w:rFonts w:hint="eastAsia" w:hAnsi="宋体" w:cs="仿宋"/>
          <w:bCs/>
          <w:sz w:val="24"/>
          <w:szCs w:val="24"/>
          <w:highlight w:val="none"/>
        </w:rPr>
        <w:t>输出扩展开发模块：数量≥2个，用于</w:t>
      </w:r>
      <w:r>
        <w:rPr>
          <w:rFonts w:hint="eastAsia" w:hAnsi="宋体" w:cs="仿宋"/>
          <w:bCs/>
          <w:sz w:val="24"/>
          <w:szCs w:val="24"/>
          <w:highlight w:val="none"/>
          <w:lang w:val="en-US" w:eastAsia="zh-CN"/>
        </w:rPr>
        <w:t>模拟量信号输出</w:t>
      </w:r>
      <w:r>
        <w:rPr>
          <w:rFonts w:hint="eastAsia" w:hAnsi="宋体" w:cs="仿宋"/>
          <w:bCs/>
          <w:sz w:val="24"/>
          <w:szCs w:val="24"/>
          <w:highlight w:val="none"/>
        </w:rPr>
        <w:t>，≥6个同步更新通道（可独立使用），每通道最大更新率≥1MS/s，≥±10V的输出范围，≥16位的分辨率，配置≥4槽USB</w:t>
      </w:r>
      <w:r>
        <w:rPr>
          <w:rFonts w:hint="eastAsia" w:hAnsi="宋体" w:cs="仿宋"/>
          <w:bCs/>
          <w:sz w:val="24"/>
          <w:szCs w:val="24"/>
          <w:highlight w:val="none"/>
          <w:lang w:val="en-US" w:eastAsia="zh-CN"/>
        </w:rPr>
        <w:t>-typeC转换接口</w:t>
      </w:r>
      <w:r>
        <w:rPr>
          <w:rFonts w:hint="eastAsia" w:hAnsi="宋体" w:cs="仿宋"/>
          <w:bCs/>
          <w:sz w:val="24"/>
          <w:szCs w:val="24"/>
          <w:highlight w:val="none"/>
        </w:rPr>
        <w:t>；</w:t>
      </w:r>
    </w:p>
    <w:p w14:paraId="0F343608">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3.9</w:t>
      </w:r>
      <w:r>
        <w:rPr>
          <w:rFonts w:hint="eastAsia" w:hAnsi="宋体" w:cs="仿宋"/>
          <w:bCs/>
          <w:sz w:val="24"/>
          <w:szCs w:val="24"/>
        </w:rPr>
        <w:t>全关节力控，力控相对精度≤0.5N，力矩相对精度≤0.1Nm；笛卡尔刚度可调范围不小于0</w:t>
      </w:r>
      <w:r>
        <w:rPr>
          <w:rFonts w:hint="eastAsia" w:hAnsi="宋体" w:cs="仿宋"/>
          <w:bCs/>
          <w:sz w:val="24"/>
          <w:szCs w:val="24"/>
          <w:lang w:eastAsia="zh-CN"/>
        </w:rPr>
        <w:t>～</w:t>
      </w:r>
      <w:r>
        <w:rPr>
          <w:rFonts w:hint="eastAsia" w:hAnsi="宋体" w:cs="仿宋"/>
          <w:bCs/>
          <w:sz w:val="24"/>
          <w:szCs w:val="24"/>
        </w:rPr>
        <w:t>18000N/m；</w:t>
      </w:r>
    </w:p>
    <w:p w14:paraId="605E1A6F">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3.16</w:t>
      </w:r>
      <w:r>
        <w:rPr>
          <w:rFonts w:hint="eastAsia" w:hAnsi="宋体" w:cs="仿宋"/>
          <w:bCs/>
          <w:sz w:val="24"/>
          <w:szCs w:val="24"/>
        </w:rPr>
        <w:t>提供SDK二次开发接口、提供</w:t>
      </w:r>
      <w:r>
        <w:rPr>
          <w:rFonts w:hint="eastAsia" w:hAnsi="宋体" w:cs="仿宋"/>
          <w:bCs/>
          <w:sz w:val="24"/>
          <w:szCs w:val="24"/>
          <w:lang w:val="en-US" w:eastAsia="zh-CN"/>
        </w:rPr>
        <w:t>机械臂</w:t>
      </w:r>
      <w:r>
        <w:rPr>
          <w:rFonts w:hint="eastAsia" w:hAnsi="宋体" w:cs="仿宋"/>
          <w:bCs/>
          <w:sz w:val="24"/>
          <w:szCs w:val="24"/>
        </w:rPr>
        <w:t>手眼标定工具及开发接口；提供目标检测、目标识别、坐标转换、抓取规划等示例程序；提供</w:t>
      </w:r>
      <w:r>
        <w:rPr>
          <w:rFonts w:hint="eastAsia" w:hAnsi="宋体" w:cs="仿宋"/>
          <w:bCs/>
          <w:sz w:val="24"/>
          <w:szCs w:val="24"/>
          <w:lang w:val="en-US" w:eastAsia="zh-CN"/>
        </w:rPr>
        <w:t>深度学习等</w:t>
      </w:r>
      <w:r>
        <w:rPr>
          <w:rFonts w:hint="eastAsia" w:hAnsi="宋体" w:cs="仿宋"/>
          <w:bCs/>
          <w:sz w:val="24"/>
          <w:szCs w:val="24"/>
        </w:rPr>
        <w:t>关键算法源码或完整SDK；支持二次开发及教学科研使用</w:t>
      </w:r>
      <w:r>
        <w:rPr>
          <w:rFonts w:hint="eastAsia" w:hAnsi="宋体" w:cs="仿宋"/>
          <w:bCs/>
          <w:sz w:val="24"/>
          <w:szCs w:val="24"/>
          <w:lang w:val="en-US" w:eastAsia="zh-CN"/>
        </w:rPr>
        <w:t>；</w:t>
      </w:r>
    </w:p>
    <w:p w14:paraId="71EB4D8D">
      <w:pPr>
        <w:widowControl/>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4.1</w:t>
      </w:r>
      <w:r>
        <w:rPr>
          <w:rFonts w:hint="eastAsia" w:hAnsi="宋体" w:cs="仿宋"/>
          <w:bCs/>
          <w:sz w:val="24"/>
          <w:szCs w:val="24"/>
        </w:rPr>
        <w:t>机械臂运动规划：支持基于ROS2的双臂独立控制及协同控制；支持碰撞检测与避障规划；支持Python接口控制关节运动、笛卡尔运动及夹爪运动</w:t>
      </w:r>
      <w:r>
        <w:rPr>
          <w:rFonts w:hint="eastAsia" w:hAnsi="宋体" w:cs="仿宋"/>
          <w:bCs/>
          <w:sz w:val="24"/>
          <w:szCs w:val="24"/>
          <w:lang w:eastAsia="zh-CN"/>
        </w:rPr>
        <w:t>；</w:t>
      </w:r>
    </w:p>
    <w:p w14:paraId="7273D70B">
      <w:pPr>
        <w:widowControl/>
        <w:spacing w:line="360" w:lineRule="auto"/>
        <w:ind w:firstLine="480" w:firstLineChars="200"/>
        <w:jc w:val="left"/>
        <w:rPr>
          <w:rFonts w:hint="eastAsia" w:hAnsi="宋体" w:cs="仿宋"/>
          <w:bCs/>
          <w:sz w:val="24"/>
          <w:szCs w:val="24"/>
        </w:rPr>
      </w:pPr>
      <w:r>
        <w:rPr>
          <w:rFonts w:hint="eastAsia" w:ascii="宋体" w:hAnsi="宋体" w:cs="宋体"/>
          <w:sz w:val="24"/>
          <w:szCs w:val="24"/>
          <w:lang w:val="en-US" w:eastAsia="zh-CN"/>
        </w:rPr>
        <w:t>4.2</w:t>
      </w:r>
      <w:r>
        <w:rPr>
          <w:rFonts w:hint="eastAsia" w:hAnsi="宋体" w:cs="仿宋"/>
          <w:b w:val="0"/>
          <w:bCs/>
          <w:sz w:val="24"/>
          <w:szCs w:val="24"/>
        </w:rPr>
        <w:t>舵机遥操数采系统</w:t>
      </w:r>
      <w:r>
        <w:rPr>
          <w:rFonts w:hint="eastAsia" w:hAnsi="宋体" w:cs="仿宋"/>
          <w:b w:val="0"/>
          <w:bCs/>
          <w:sz w:val="24"/>
          <w:szCs w:val="24"/>
          <w:lang w:eastAsia="zh-CN"/>
        </w:rPr>
        <w:t>：</w:t>
      </w:r>
      <w:r>
        <w:rPr>
          <w:rFonts w:hint="eastAsia" w:hAnsi="宋体" w:cs="仿宋"/>
          <w:bCs/>
          <w:sz w:val="24"/>
          <w:szCs w:val="24"/>
        </w:rPr>
        <w:t>≥2个舵机遥操臂及配件组成，单个操作臂主要由舵机、结构件、操作手柄和控制器四部分组成；支持有线</w:t>
      </w:r>
      <w:r>
        <w:rPr>
          <w:rFonts w:hint="eastAsia" w:hAnsi="宋体" w:cs="仿宋"/>
          <w:bCs/>
          <w:sz w:val="24"/>
          <w:szCs w:val="24"/>
          <w:lang w:val="en-US" w:eastAsia="zh-CN"/>
        </w:rPr>
        <w:t>网络及无</w:t>
      </w:r>
      <w:r>
        <w:rPr>
          <w:rFonts w:hint="eastAsia" w:hAnsi="宋体" w:cs="仿宋"/>
          <w:bCs/>
          <w:sz w:val="24"/>
          <w:szCs w:val="24"/>
        </w:rPr>
        <w:t>线</w:t>
      </w:r>
      <w:r>
        <w:rPr>
          <w:rFonts w:hint="eastAsia" w:hAnsi="宋体" w:cs="仿宋"/>
          <w:bCs/>
          <w:sz w:val="24"/>
          <w:szCs w:val="24"/>
          <w:lang w:val="en-US" w:eastAsia="zh-CN"/>
        </w:rPr>
        <w:t>网络遥操作</w:t>
      </w:r>
      <w:r>
        <w:rPr>
          <w:rFonts w:hint="eastAsia" w:hAnsi="宋体" w:cs="仿宋"/>
          <w:bCs/>
          <w:sz w:val="24"/>
          <w:szCs w:val="24"/>
        </w:rPr>
        <w:t>；舵机关节采用无刷电机，钢齿牙箱；结构件材料</w:t>
      </w:r>
      <w:r>
        <w:rPr>
          <w:rFonts w:hint="eastAsia" w:hAnsi="宋体" w:cs="仿宋"/>
          <w:bCs/>
          <w:sz w:val="24"/>
          <w:szCs w:val="24"/>
          <w:lang w:eastAsia="zh-CN"/>
        </w:rPr>
        <w:t>：</w:t>
      </w:r>
      <w:r>
        <w:rPr>
          <w:rFonts w:hint="eastAsia" w:hAnsi="宋体" w:cs="仿宋"/>
          <w:bCs/>
          <w:sz w:val="24"/>
          <w:szCs w:val="24"/>
        </w:rPr>
        <w:t>铝合金；</w:t>
      </w:r>
    </w:p>
    <w:p w14:paraId="33C7061D">
      <w:pPr>
        <w:widowControl/>
        <w:spacing w:line="360" w:lineRule="auto"/>
        <w:ind w:firstLine="480" w:firstLineChars="200"/>
        <w:jc w:val="left"/>
        <w:rPr>
          <w:rFonts w:hint="eastAsia" w:hAnsi="宋体" w:cs="仿宋"/>
          <w:bCs/>
          <w:sz w:val="24"/>
          <w:szCs w:val="24"/>
        </w:rPr>
      </w:pPr>
      <w:r>
        <w:rPr>
          <w:rFonts w:hint="eastAsia" w:ascii="宋体" w:hAnsi="宋体" w:cs="宋体"/>
          <w:sz w:val="24"/>
          <w:szCs w:val="24"/>
          <w:lang w:val="en-US" w:eastAsia="zh-CN"/>
        </w:rPr>
        <w:t>4.4</w:t>
      </w:r>
      <w:r>
        <w:rPr>
          <w:rFonts w:hint="eastAsia" w:hAnsi="宋体" w:cs="仿宋"/>
          <w:bCs/>
          <w:sz w:val="24"/>
          <w:szCs w:val="24"/>
        </w:rPr>
        <w:t>遥操臂软件功能：</w:t>
      </w:r>
    </w:p>
    <w:p w14:paraId="297226FF">
      <w:pPr>
        <w:pStyle w:val="7"/>
        <w:spacing w:line="360" w:lineRule="auto"/>
        <w:jc w:val="both"/>
        <w:rPr>
          <w:rFonts w:hint="eastAsia" w:hAnsi="宋体" w:cs="仿宋"/>
          <w:bCs/>
          <w:sz w:val="24"/>
          <w:szCs w:val="24"/>
        </w:rPr>
      </w:pPr>
      <w:r>
        <w:rPr>
          <w:rFonts w:hint="eastAsia" w:hAnsi="宋体" w:cs="仿宋"/>
          <w:bCs/>
          <w:sz w:val="24"/>
          <w:szCs w:val="24"/>
        </w:rPr>
        <w:t>零点设定：可以根据从机械臂的运动学参数，快速设置舵机臂的关节方向和零位；</w:t>
      </w:r>
    </w:p>
    <w:p w14:paraId="388A45B4">
      <w:pPr>
        <w:pStyle w:val="7"/>
        <w:spacing w:line="360" w:lineRule="auto"/>
        <w:jc w:val="both"/>
        <w:rPr>
          <w:rFonts w:hint="eastAsia" w:hAnsi="宋体" w:cs="仿宋"/>
          <w:bCs/>
          <w:sz w:val="24"/>
          <w:szCs w:val="24"/>
        </w:rPr>
      </w:pPr>
      <w:r>
        <w:rPr>
          <w:rFonts w:hint="eastAsia" w:hAnsi="宋体" w:cs="仿宋"/>
          <w:bCs/>
          <w:sz w:val="24"/>
          <w:szCs w:val="24"/>
        </w:rPr>
        <w:t>一键拖动：舵机臂在保持的状态下，可以通过一键操作进入拖动状态；</w:t>
      </w:r>
    </w:p>
    <w:p w14:paraId="2020021C">
      <w:pPr>
        <w:pStyle w:val="7"/>
        <w:spacing w:line="360" w:lineRule="auto"/>
        <w:jc w:val="both"/>
        <w:rPr>
          <w:rFonts w:hint="eastAsia" w:hAnsi="宋体" w:cs="仿宋"/>
          <w:bCs/>
          <w:sz w:val="24"/>
          <w:szCs w:val="24"/>
        </w:rPr>
      </w:pPr>
      <w:r>
        <w:rPr>
          <w:rFonts w:hint="eastAsia" w:hAnsi="宋体" w:cs="仿宋"/>
          <w:bCs/>
          <w:sz w:val="24"/>
          <w:szCs w:val="24"/>
        </w:rPr>
        <w:t>一键保持：舵机臂在拖动状态下，可以通过一键操作进入使能保持状态；</w:t>
      </w:r>
    </w:p>
    <w:p w14:paraId="36519621">
      <w:pPr>
        <w:pStyle w:val="7"/>
        <w:spacing w:line="360" w:lineRule="auto"/>
        <w:jc w:val="both"/>
        <w:rPr>
          <w:rFonts w:hint="eastAsia" w:hAnsi="宋体" w:cs="仿宋"/>
          <w:bCs/>
          <w:sz w:val="24"/>
          <w:szCs w:val="24"/>
        </w:rPr>
      </w:pPr>
      <w:r>
        <w:rPr>
          <w:rFonts w:hint="eastAsia" w:hAnsi="宋体" w:cs="仿宋"/>
          <w:bCs/>
          <w:sz w:val="24"/>
          <w:szCs w:val="24"/>
        </w:rPr>
        <w:t>关节运动：舵机臂在使能保持状态下，可以接收关节值执行关节运动；</w:t>
      </w:r>
    </w:p>
    <w:p w14:paraId="74CB26E1">
      <w:pPr>
        <w:pStyle w:val="7"/>
        <w:spacing w:line="360" w:lineRule="auto"/>
        <w:jc w:val="both"/>
        <w:rPr>
          <w:rFonts w:hint="eastAsia" w:hAnsi="宋体" w:cs="仿宋"/>
          <w:bCs/>
          <w:sz w:val="24"/>
          <w:szCs w:val="24"/>
        </w:rPr>
      </w:pPr>
      <w:r>
        <w:rPr>
          <w:rFonts w:hint="eastAsia" w:hAnsi="宋体" w:cs="仿宋"/>
          <w:bCs/>
          <w:sz w:val="24"/>
          <w:szCs w:val="24"/>
        </w:rPr>
        <w:t>从臂控制：可以通过操作舵机臂的关节运动，同步控制从机械臂的各关节位置；</w:t>
      </w:r>
    </w:p>
    <w:p w14:paraId="7238E043">
      <w:pPr>
        <w:pStyle w:val="7"/>
        <w:spacing w:line="360" w:lineRule="auto"/>
        <w:jc w:val="both"/>
        <w:rPr>
          <w:rFonts w:hint="eastAsia" w:hAnsi="宋体" w:cs="仿宋"/>
          <w:bCs/>
          <w:sz w:val="24"/>
          <w:szCs w:val="24"/>
        </w:rPr>
      </w:pPr>
      <w:r>
        <w:rPr>
          <w:rFonts w:hint="eastAsia" w:hAnsi="宋体" w:cs="仿宋"/>
          <w:bCs/>
          <w:sz w:val="24"/>
          <w:szCs w:val="24"/>
        </w:rPr>
        <w:t>底盘控制：可以通过舵机臂末端操作手柄的遥杆控制底盘运动；</w:t>
      </w:r>
    </w:p>
    <w:p w14:paraId="5F24055C">
      <w:pPr>
        <w:widowControl/>
        <w:spacing w:line="360" w:lineRule="auto"/>
        <w:ind w:firstLine="480" w:firstLineChars="200"/>
        <w:jc w:val="left"/>
        <w:rPr>
          <w:rFonts w:hint="eastAsia" w:ascii="宋体" w:hAnsi="宋体" w:cs="宋体"/>
          <w:sz w:val="24"/>
          <w:szCs w:val="24"/>
          <w:lang w:val="en-US" w:eastAsia="zh-CN"/>
        </w:rPr>
      </w:pPr>
      <w:r>
        <w:rPr>
          <w:rFonts w:hint="eastAsia" w:hAnsi="宋体" w:cs="仿宋"/>
          <w:bCs/>
          <w:sz w:val="24"/>
          <w:szCs w:val="24"/>
        </w:rPr>
        <w:t>执行器控制：可以通过舵机臂末端操作手柄的按钮控制执行器动作。</w:t>
      </w:r>
    </w:p>
    <w:p w14:paraId="6CBC7ABF">
      <w:pPr>
        <w:widowControl/>
        <w:spacing w:line="360" w:lineRule="auto"/>
        <w:ind w:firstLine="480" w:firstLineChars="200"/>
        <w:jc w:val="left"/>
        <w:rPr>
          <w:rFonts w:hint="eastAsia" w:hAnsi="宋体" w:cs="仿宋"/>
          <w:bCs/>
          <w:sz w:val="24"/>
          <w:szCs w:val="24"/>
          <w:lang w:eastAsia="zh-CN"/>
        </w:rPr>
      </w:pPr>
      <w:r>
        <w:rPr>
          <w:rFonts w:hint="eastAsia" w:ascii="宋体" w:hAnsi="宋体" w:cs="宋体"/>
          <w:sz w:val="24"/>
          <w:szCs w:val="24"/>
          <w:lang w:val="en-US" w:eastAsia="zh-CN"/>
        </w:rPr>
        <w:t>4.5</w:t>
      </w:r>
      <w:r>
        <w:rPr>
          <w:rFonts w:hint="eastAsia" w:hAnsi="宋体" w:cs="仿宋"/>
          <w:bCs/>
          <w:sz w:val="24"/>
          <w:szCs w:val="24"/>
        </w:rPr>
        <w:t>数据采集系统功能：采集启动、动作步长设置、机器人双机械臂运动控制以及夹爪开合控制、完成相应动作任务、采集数据可视化查看、数据采集保存；支持基于舵机臂上的保存按钮完成一个完整动作的采集，</w:t>
      </w:r>
      <w:r>
        <w:rPr>
          <w:rFonts w:hint="eastAsia" w:hAnsi="宋体" w:cs="仿宋"/>
          <w:bCs/>
          <w:sz w:val="24"/>
          <w:szCs w:val="24"/>
          <w:lang w:val="en-US" w:eastAsia="zh-CN"/>
        </w:rPr>
        <w:t>支持标准数据格式导出</w:t>
      </w:r>
      <w:r>
        <w:rPr>
          <w:rFonts w:hint="eastAsia" w:hAnsi="宋体" w:cs="仿宋"/>
          <w:bCs/>
          <w:sz w:val="24"/>
          <w:szCs w:val="24"/>
          <w:lang w:eastAsia="zh-CN"/>
        </w:rPr>
        <w:t>；</w:t>
      </w:r>
      <w:r>
        <w:rPr>
          <w:rFonts w:hint="eastAsia" w:hAnsi="宋体" w:cs="仿宋"/>
          <w:bCs/>
          <w:sz w:val="24"/>
          <w:szCs w:val="24"/>
        </w:rPr>
        <w:t>数据采集频率按照≥25Hz进行采集，采集整体动作序列，动作序列在每个时刻包含双臂6自由度的关节角度、双夹爪开合状态以及头部和夹爪绑定相机获取到的RGB图像</w:t>
      </w:r>
      <w:r>
        <w:rPr>
          <w:rFonts w:hint="eastAsia" w:hAnsi="宋体" w:cs="仿宋"/>
          <w:bCs/>
          <w:sz w:val="24"/>
          <w:szCs w:val="24"/>
          <w:lang w:eastAsia="zh-CN"/>
        </w:rPr>
        <w:t>；</w:t>
      </w:r>
    </w:p>
    <w:p w14:paraId="358CCD0C">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4.6</w:t>
      </w:r>
      <w:r>
        <w:rPr>
          <w:rFonts w:hint="eastAsia" w:hAnsi="宋体" w:cs="仿宋"/>
          <w:bCs/>
          <w:sz w:val="24"/>
          <w:szCs w:val="24"/>
          <w:lang w:val="en-US" w:eastAsia="zh-CN"/>
        </w:rPr>
        <w:t>大模型</w:t>
      </w:r>
      <w:r>
        <w:rPr>
          <w:rFonts w:hint="eastAsia" w:hAnsi="宋体" w:cs="仿宋"/>
          <w:b w:val="0"/>
          <w:bCs/>
          <w:sz w:val="24"/>
          <w:szCs w:val="24"/>
        </w:rPr>
        <w:t>推理</w:t>
      </w:r>
      <w:r>
        <w:rPr>
          <w:rFonts w:hint="eastAsia" w:hAnsi="宋体" w:cs="仿宋"/>
          <w:b w:val="0"/>
          <w:bCs/>
          <w:sz w:val="24"/>
          <w:szCs w:val="24"/>
          <w:lang w:val="en-US" w:eastAsia="zh-CN"/>
        </w:rPr>
        <w:t>及控制模块：</w:t>
      </w:r>
      <w:r>
        <w:rPr>
          <w:rFonts w:hint="eastAsia" w:hAnsi="宋体" w:cs="仿宋"/>
          <w:bCs/>
          <w:sz w:val="24"/>
          <w:szCs w:val="24"/>
        </w:rPr>
        <w:t>处理器：睿频≥5.2GHz；内存：≥32G内存；硬盘：≥500G</w:t>
      </w:r>
      <w:r>
        <w:rPr>
          <w:rFonts w:hint="eastAsia" w:hAnsi="宋体" w:cs="仿宋"/>
          <w:bCs/>
          <w:sz w:val="24"/>
          <w:szCs w:val="24"/>
          <w:lang w:val="en-US" w:eastAsia="zh-CN"/>
        </w:rPr>
        <w:t xml:space="preserve">B </w:t>
      </w:r>
      <w:r>
        <w:rPr>
          <w:rFonts w:hint="eastAsia" w:hAnsi="宋体" w:cs="仿宋"/>
          <w:bCs/>
          <w:sz w:val="24"/>
          <w:szCs w:val="24"/>
        </w:rPr>
        <w:t>SSD；显卡：≥6144核心，算力≥988 AI TOPS；</w:t>
      </w:r>
    </w:p>
    <w:p w14:paraId="18307258">
      <w:pPr>
        <w:widowControl/>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4.7</w:t>
      </w:r>
      <w:r>
        <w:rPr>
          <w:rFonts w:hint="eastAsia" w:hAnsi="宋体" w:cs="仿宋"/>
          <w:bCs/>
          <w:sz w:val="24"/>
          <w:szCs w:val="24"/>
        </w:rPr>
        <w:t>提供具身智能VLA软件框架；支持语音、文本及视觉信息融合；支持将自然语言指令解析为机器人任务；支持基于视觉感知完成目标识别、抓取及双臂协同操作；支持机器人动作策略推理与执行；依托具身大模型解析指令、自主识别环境并下发关节角度</w:t>
      </w:r>
      <w:r>
        <w:rPr>
          <w:rFonts w:hint="eastAsia" w:hAnsi="宋体" w:cs="仿宋"/>
          <w:bCs/>
          <w:sz w:val="24"/>
          <w:szCs w:val="24"/>
          <w:lang w:eastAsia="zh-CN"/>
        </w:rPr>
        <w:t>，</w:t>
      </w:r>
      <w:r>
        <w:rPr>
          <w:rFonts w:hint="eastAsia" w:hAnsi="宋体" w:cs="仿宋"/>
          <w:bCs/>
          <w:sz w:val="24"/>
          <w:szCs w:val="24"/>
        </w:rPr>
        <w:t>实现双臂协同作业；提供示例工程、开发文档及可运行Demo；支持用户开展具身智能算法研究与二次开发</w:t>
      </w:r>
      <w:r>
        <w:rPr>
          <w:rFonts w:hint="eastAsia" w:hAnsi="宋体" w:cs="仿宋"/>
          <w:bCs/>
          <w:sz w:val="24"/>
          <w:szCs w:val="24"/>
          <w:lang w:eastAsia="zh-CN"/>
        </w:rPr>
        <w:t>；</w:t>
      </w:r>
    </w:p>
    <w:p w14:paraId="755F68C4">
      <w:pPr>
        <w:widowControl/>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4.8</w:t>
      </w:r>
      <w:r>
        <w:rPr>
          <w:rFonts w:hint="eastAsia" w:hAnsi="宋体" w:cs="仿宋"/>
          <w:bCs/>
          <w:sz w:val="24"/>
          <w:szCs w:val="24"/>
        </w:rPr>
        <w:t>可视化行为树管理软件，可实时展示运行状态及动作节点，支持状态实时查看功能，行为树节点需涵盖底盘运动、导航、机械臂多模式运动、夹爪、抓取姿态计算节点；交付时提供基于行为树节点实现</w:t>
      </w:r>
      <w:r>
        <w:rPr>
          <w:rFonts w:hint="eastAsia" w:hAnsi="宋体" w:cs="仿宋"/>
          <w:bCs/>
          <w:sz w:val="24"/>
          <w:szCs w:val="24"/>
          <w:lang w:val="en-US" w:eastAsia="zh-CN"/>
        </w:rPr>
        <w:t>地砖</w:t>
      </w:r>
      <w:r>
        <w:rPr>
          <w:rFonts w:hint="eastAsia" w:hAnsi="宋体" w:cs="仿宋"/>
          <w:bCs/>
          <w:sz w:val="24"/>
          <w:szCs w:val="24"/>
        </w:rPr>
        <w:t>抓取的移动视觉抓取；</w:t>
      </w:r>
    </w:p>
    <w:p w14:paraId="0BDC24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sz w:val="24"/>
          <w:szCs w:val="24"/>
          <w:lang w:val="en-US" w:eastAsia="zh-CN"/>
        </w:rPr>
      </w:pPr>
      <w:r>
        <w:rPr>
          <w:rFonts w:hint="eastAsia" w:ascii="宋体" w:hAnsi="宋体" w:cs="宋体"/>
          <w:sz w:val="24"/>
          <w:szCs w:val="24"/>
          <w:lang w:val="en-US" w:eastAsia="zh-CN"/>
        </w:rPr>
        <w:t>4.9提供模块调试工具：包含串口助手、底盘助手、imu助手、RTK助手、雷达助手，实现设备硬件测试、参数设置及恢复默认等功能，可快速定位设备故障。</w:t>
      </w:r>
    </w:p>
    <w:p w14:paraId="6D52EE78">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lang w:eastAsia="zh-CN"/>
        </w:rPr>
        <w:t>、验收标准和方法：</w:t>
      </w:r>
    </w:p>
    <w:p w14:paraId="325BF819">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1.仪器设备的验收内容包括商务验收、技术验收和安全性能验收三部分。</w:t>
      </w:r>
    </w:p>
    <w:p w14:paraId="2722A97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08C5A20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1.2技术验收是指由使用单位依据合同技术附件、招投标文件及产品出厂的主要技术指标，对仪器设备的各项功能进行验收。</w:t>
      </w:r>
    </w:p>
    <w:p w14:paraId="6D95355E">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1.3安全性能验收主要是指对仪器设备以及其安装场地、使用环境等辅助设施的安全性进行的验收。</w:t>
      </w:r>
    </w:p>
    <w:p w14:paraId="7601E142">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2.验收分为一次验收（初验）、专家验收和二次验收（终验）。</w:t>
      </w:r>
    </w:p>
    <w:p w14:paraId="40A12EC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2.1一次验收（初验）：由使用单位依据合同及上述规定的三部分验收内容逐条逐项一一核对。</w:t>
      </w:r>
    </w:p>
    <w:p w14:paraId="6244B9A9">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0FFAFCE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2.3二次验收（终验）： 由学校验收小组核实使用单位初验意见及专家组验收意见，依据合同，结合使用单位提交的初验资料，对所供仪器设备进行抽样或全面检查，核实相关技术指标，观看现场演示。</w:t>
      </w:r>
    </w:p>
    <w:p w14:paraId="7534CB11">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eastAsia="zh-CN"/>
        </w:rPr>
        <w:t>、开箱验收</w:t>
      </w:r>
    </w:p>
    <w:p w14:paraId="0FE8B98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1.产品运抵现场后，双方应及时开箱验收，并制作验收记录，以确认与本合同约定的数量、型号等是否一致。</w:t>
      </w:r>
    </w:p>
    <w:p w14:paraId="641522B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48B8321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6393D72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7BBD17A1">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eastAsia="zh-CN"/>
        </w:rPr>
        <w:t>、检验验收</w:t>
      </w:r>
    </w:p>
    <w:p w14:paraId="21024C4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58837A1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2.在具体实施合同规定的检验验收之前，乙方需提前提交相应的测试计划（包括测试程序、测试内容和检验标准、试验时间安排等）供甲方确认。</w:t>
      </w:r>
    </w:p>
    <w:p w14:paraId="3D49260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3.除需甲方确认的试验验收外，乙方还应对所有检验验收测试的结果、步骤、原始数据等作妥善记录。如甲方要求，乙方应提供这些记录给甲方。</w:t>
      </w:r>
    </w:p>
    <w:p w14:paraId="7DE6032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4.检验测试出现全部或部分未达到本合同所约定的技术指标，甲方有权选择下列任一处理方式：</w:t>
      </w:r>
    </w:p>
    <w:p w14:paraId="4A7DBFB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a.重新测试直至合格为止；</w:t>
      </w:r>
    </w:p>
    <w:p w14:paraId="7A883F4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b.要求乙方对货物进行免费更换，然后重新测试直至合格为止；</w:t>
      </w:r>
    </w:p>
    <w:p w14:paraId="2F49460E">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无论选择何种方式，甲方因此而发生的因乙方原因引起的所有费用均由乙方负担。</w:t>
      </w:r>
    </w:p>
    <w:p w14:paraId="60508879">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lang w:eastAsia="zh-CN"/>
        </w:rPr>
        <w:t>、使用过程检验</w:t>
      </w:r>
    </w:p>
    <w:p w14:paraId="42F6858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A7ABD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2.如果合同双方对乙方提供的上述试验结果报告的解释有分歧，双方须于出现分歧后10天内给对方声明，以陈述己方的观点。声明须附有关证据。分歧应通过协商解决。</w:t>
      </w:r>
    </w:p>
    <w:p w14:paraId="4537A4E5">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lang w:eastAsia="zh-CN"/>
        </w:rPr>
        <w:t>、安装验收</w:t>
      </w:r>
    </w:p>
    <w:p w14:paraId="0B1E28E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0F897FB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153D990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3.所有验收合格，但不能免除乙方应该承担的质保责任。</w:t>
      </w:r>
    </w:p>
    <w:p w14:paraId="13A3A352">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七</w:t>
      </w:r>
      <w:r>
        <w:rPr>
          <w:rFonts w:hint="eastAsia" w:ascii="宋体" w:hAnsi="宋体" w:eastAsia="宋体" w:cs="宋体"/>
          <w:b/>
          <w:color w:val="auto"/>
          <w:sz w:val="24"/>
          <w:szCs w:val="24"/>
          <w:lang w:eastAsia="zh-CN"/>
        </w:rPr>
        <w:t>、安全管理</w:t>
      </w:r>
    </w:p>
    <w:p w14:paraId="1E569AB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1.货物安装现场安全、文明管理由乙方编制专项详细方案并严格执行。</w:t>
      </w:r>
    </w:p>
    <w:p w14:paraId="4064228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155F5C0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3.在设备安装施工全过程中，乙方应服从甲方的各项管理，并对乙方施工人员进行安全管理。</w:t>
      </w:r>
    </w:p>
    <w:p w14:paraId="09538E99">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4.确保现场建筑物及相关设施设备完好无损，如施工过程中出现损坏，乙方负责修复赔偿。</w:t>
      </w:r>
    </w:p>
    <w:p w14:paraId="4689FAA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5.乙方应对安装施工人员相关岗位上岗资格进行审查，并对相关后果负责。</w:t>
      </w:r>
    </w:p>
    <w:p w14:paraId="6B21BD14">
      <w:pPr>
        <w:widowControl/>
        <w:spacing w:line="360" w:lineRule="auto"/>
        <w:ind w:firstLine="480" w:firstLineChars="200"/>
        <w:jc w:val="left"/>
        <w:rPr>
          <w:rFonts w:ascii="宋体" w:hAnsi="宋体" w:cs="宋体"/>
          <w:sz w:val="24"/>
          <w:szCs w:val="24"/>
        </w:rPr>
      </w:pPr>
    </w:p>
    <w:p w14:paraId="5E23A604">
      <w:pPr>
        <w:widowControl/>
        <w:spacing w:line="360" w:lineRule="auto"/>
        <w:ind w:firstLine="480" w:firstLineChars="200"/>
        <w:jc w:val="left"/>
        <w:rPr>
          <w:rFonts w:ascii="宋体" w:hAnsi="宋体" w:cs="宋体"/>
          <w:sz w:val="24"/>
          <w:szCs w:val="24"/>
        </w:rPr>
      </w:pPr>
    </w:p>
    <w:p w14:paraId="57434F44">
      <w:pPr>
        <w:widowControl/>
        <w:spacing w:line="360" w:lineRule="auto"/>
        <w:ind w:firstLine="480" w:firstLineChars="200"/>
        <w:jc w:val="left"/>
        <w:rPr>
          <w:rFonts w:ascii="宋体" w:hAnsi="宋体" w:cs="宋体"/>
          <w:sz w:val="24"/>
          <w:szCs w:val="24"/>
        </w:rPr>
      </w:pPr>
    </w:p>
    <w:p w14:paraId="58D9A2B9">
      <w:pPr>
        <w:rPr>
          <w:rFonts w:ascii="宋体" w:hAnsi="宋体" w:cs="宋体"/>
          <w:kern w:val="0"/>
          <w:sz w:val="28"/>
          <w:szCs w:val="28"/>
        </w:rPr>
      </w:pPr>
      <w:r>
        <w:rPr>
          <w:rFonts w:hint="eastAsia" w:ascii="宋体" w:hAnsi="宋体" w:cs="宋体"/>
          <w:kern w:val="0"/>
          <w:sz w:val="28"/>
          <w:szCs w:val="28"/>
        </w:rPr>
        <w:br w:type="page"/>
      </w:r>
    </w:p>
    <w:p w14:paraId="2BDE6064">
      <w:pPr>
        <w:widowControl/>
        <w:spacing w:line="360" w:lineRule="auto"/>
        <w:jc w:val="left"/>
        <w:rPr>
          <w:rFonts w:ascii="宋体" w:hAnsi="宋体" w:cs="宋体"/>
          <w:kern w:val="0"/>
          <w:sz w:val="28"/>
          <w:szCs w:val="28"/>
        </w:rPr>
      </w:pPr>
      <w:r>
        <w:rPr>
          <w:rFonts w:hint="eastAsia" w:ascii="宋体" w:hAnsi="宋体" w:cs="宋体"/>
          <w:kern w:val="0"/>
          <w:sz w:val="28"/>
          <w:szCs w:val="28"/>
        </w:rPr>
        <w:t>附件3：索赔</w:t>
      </w:r>
    </w:p>
    <w:p w14:paraId="5EC6CBA4">
      <w:pPr>
        <w:widowControl/>
        <w:spacing w:line="360" w:lineRule="auto"/>
        <w:jc w:val="center"/>
        <w:rPr>
          <w:rFonts w:ascii="宋体" w:hAnsi="宋体" w:cs="宋体"/>
          <w:sz w:val="24"/>
          <w:szCs w:val="24"/>
        </w:rPr>
      </w:pPr>
      <w:r>
        <w:rPr>
          <w:rFonts w:hint="eastAsia" w:ascii="宋体" w:hAnsi="宋体" w:cs="宋体"/>
          <w:b/>
          <w:kern w:val="0"/>
          <w:sz w:val="28"/>
          <w:szCs w:val="28"/>
        </w:rPr>
        <w:t>索 赔</w:t>
      </w:r>
    </w:p>
    <w:p w14:paraId="6149546D">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59882CC0">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2.在验收合格前，乙方对甲方提出的索赔负有责任，乙方应按照甲方同意的下列一种或多种方式解决索赔事宜：</w:t>
      </w:r>
    </w:p>
    <w:p w14:paraId="7F58AD96">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D41EA42">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2.2根据货物低劣程度、损坏程度以及甲方所遭受损失的数额，经甲乙双方商定降低货物的价格，或由有资质的中介机构评估，以降低后的价格或评估价格为准。</w:t>
      </w:r>
    </w:p>
    <w:p w14:paraId="758095D8">
      <w:pPr>
        <w:widowControl/>
        <w:spacing w:line="480" w:lineRule="exact"/>
        <w:ind w:firstLine="482"/>
        <w:jc w:val="left"/>
        <w:rPr>
          <w:rFonts w:ascii="宋体" w:hAnsi="宋体" w:cs="宋体"/>
          <w:kern w:val="0"/>
          <w:sz w:val="24"/>
          <w:szCs w:val="24"/>
        </w:rPr>
      </w:pPr>
      <w:r>
        <w:rPr>
          <w:rFonts w:hint="eastAsia" w:ascii="宋体" w:hAnsi="宋体" w:cs="宋体"/>
          <w:kern w:val="0"/>
          <w:sz w:val="24"/>
          <w:szCs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6BEE38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cs="宋体"/>
          <w:kern w:val="0"/>
          <w:sz w:val="24"/>
          <w:szCs w:val="24"/>
        </w:rPr>
        <w:t>3.乙方收到甲方发出的索赔通知之日起5个工作日内未作答复的，甲方可从合同款或履约保证金中扣回索赔金额，如金额不足以补偿索赔金额，乙方应补足差额部分。</w:t>
      </w:r>
      <w:r>
        <w:rPr>
          <w:rFonts w:hint="eastAsia" w:ascii="宋体" w:hAnsi="宋体" w:cs="宋体"/>
          <w:kern w:val="0"/>
          <w:sz w:val="24"/>
          <w:szCs w:val="24"/>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5965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5D577">
                          <w:pPr>
                            <w:pStyle w:val="9"/>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35D577">
                    <w:pPr>
                      <w:pStyle w:val="9"/>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16A42B33"/>
    <w:rsid w:val="264F0079"/>
    <w:rsid w:val="2D46629B"/>
    <w:rsid w:val="340B271C"/>
    <w:rsid w:val="36DE2219"/>
    <w:rsid w:val="3AB64A60"/>
    <w:rsid w:val="3DB12C1D"/>
    <w:rsid w:val="403B217E"/>
    <w:rsid w:val="455C4456"/>
    <w:rsid w:val="47B8615C"/>
    <w:rsid w:val="4A031344"/>
    <w:rsid w:val="58BC239B"/>
    <w:rsid w:val="64860975"/>
    <w:rsid w:val="64DF3A6C"/>
    <w:rsid w:val="66167B0E"/>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6593</Words>
  <Characters>6841</Characters>
  <Lines>0</Lines>
  <Paragraphs>0</Paragraphs>
  <TotalTime>0</TotalTime>
  <ScaleCrop>false</ScaleCrop>
  <LinksUpToDate>false</LinksUpToDate>
  <CharactersWithSpaces>7047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2026-08-24T11:14:08Z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