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A930">
      <w:pPr>
        <w:spacing w:line="360" w:lineRule="auto"/>
        <w:ind w:left="283" w:leftChars="135"/>
        <w:jc w:val="center"/>
        <w:rPr>
          <w:rFonts w:ascii="仿宋" w:hAnsi="仿宋" w:eastAsia="仿宋" w:cs="仿宋"/>
          <w:b/>
          <w:bCs/>
          <w:color w:val="auto"/>
          <w:sz w:val="44"/>
          <w:szCs w:val="44"/>
        </w:rPr>
      </w:pPr>
      <w:r>
        <w:rPr>
          <w:rFonts w:hint="eastAsia" w:ascii="仿宋" w:hAnsi="仿宋" w:eastAsia="仿宋" w:cs="仿宋"/>
          <w:bCs/>
          <w:color w:val="auto"/>
          <w:sz w:val="24"/>
        </w:rPr>
        <w:t>（本合同格式供参考，具体以双方签订为准</w:t>
      </w:r>
      <w:r>
        <w:rPr>
          <w:rFonts w:hint="eastAsia" w:ascii="仿宋" w:hAnsi="仿宋" w:eastAsia="仿宋" w:cs="仿宋"/>
          <w:bCs/>
          <w:color w:val="auto"/>
          <w:spacing w:val="-4"/>
          <w:sz w:val="24"/>
        </w:rPr>
        <w:t>）</w:t>
      </w:r>
    </w:p>
    <w:p w14:paraId="0851A8C0">
      <w:pPr>
        <w:jc w:val="center"/>
        <w:rPr>
          <w:rFonts w:ascii="仿宋" w:hAnsi="仿宋" w:eastAsia="仿宋" w:cs="仿宋"/>
          <w:b/>
          <w:color w:val="auto"/>
          <w:sz w:val="32"/>
        </w:rPr>
      </w:pPr>
      <w:r>
        <w:rPr>
          <w:rFonts w:hint="eastAsia" w:ascii="仿宋" w:hAnsi="仿宋" w:eastAsia="仿宋" w:cs="仿宋"/>
          <w:b/>
          <w:color w:val="auto"/>
          <w:sz w:val="32"/>
        </w:rPr>
        <w:t>合同主要条款</w:t>
      </w:r>
    </w:p>
    <w:p w14:paraId="538EA843">
      <w:pPr>
        <w:spacing w:line="360" w:lineRule="auto"/>
        <w:jc w:val="center"/>
        <w:rPr>
          <w:rFonts w:ascii="仿宋" w:hAnsi="仿宋" w:eastAsia="仿宋" w:cs="仿宋"/>
          <w:color w:val="auto"/>
          <w:sz w:val="20"/>
          <w:szCs w:val="20"/>
        </w:rPr>
      </w:pPr>
      <w:bookmarkStart w:id="0" w:name="OLE_LINK13"/>
      <w:bookmarkStart w:id="1" w:name="OLE_LINK12"/>
      <w:r>
        <w:rPr>
          <w:rFonts w:hint="eastAsia" w:ascii="仿宋" w:hAnsi="仿宋" w:eastAsia="仿宋" w:cs="仿宋"/>
          <w:color w:val="auto"/>
          <w:sz w:val="20"/>
          <w:szCs w:val="20"/>
        </w:rPr>
        <w:t>（采购项目编号：          ）</w:t>
      </w:r>
    </w:p>
    <w:p w14:paraId="6FA63A5A">
      <w:pPr>
        <w:spacing w:line="360" w:lineRule="auto"/>
        <w:jc w:val="center"/>
        <w:rPr>
          <w:rFonts w:ascii="仿宋" w:hAnsi="仿宋" w:eastAsia="仿宋" w:cs="仿宋"/>
          <w:color w:val="auto"/>
          <w:sz w:val="20"/>
          <w:szCs w:val="20"/>
        </w:rPr>
      </w:pPr>
    </w:p>
    <w:p w14:paraId="3F911224">
      <w:pPr>
        <w:adjustRightInd w:val="0"/>
        <w:snapToGrid w:val="0"/>
        <w:spacing w:line="360" w:lineRule="auto"/>
        <w:rPr>
          <w:rFonts w:ascii="仿宋" w:hAnsi="仿宋" w:eastAsia="仿宋" w:cs="仿宋"/>
          <w:b/>
          <w:bCs/>
          <w:color w:val="auto"/>
          <w:sz w:val="20"/>
          <w:szCs w:val="20"/>
        </w:rPr>
      </w:pPr>
      <w:r>
        <w:rPr>
          <w:rFonts w:hint="eastAsia" w:ascii="仿宋" w:hAnsi="仿宋" w:eastAsia="仿宋" w:cs="仿宋"/>
          <w:b/>
          <w:bCs/>
          <w:color w:val="auto"/>
          <w:sz w:val="20"/>
          <w:szCs w:val="20"/>
        </w:rPr>
        <w:t xml:space="preserve">采购人（全称）： </w:t>
      </w:r>
    </w:p>
    <w:p w14:paraId="28FA978D">
      <w:pPr>
        <w:adjustRightInd w:val="0"/>
        <w:snapToGrid w:val="0"/>
        <w:spacing w:line="360" w:lineRule="auto"/>
        <w:rPr>
          <w:rFonts w:ascii="仿宋" w:hAnsi="仿宋" w:eastAsia="仿宋" w:cs="仿宋"/>
          <w:color w:val="auto"/>
          <w:sz w:val="20"/>
          <w:szCs w:val="20"/>
        </w:rPr>
      </w:pPr>
      <w:r>
        <w:rPr>
          <w:rFonts w:hint="eastAsia" w:ascii="仿宋" w:hAnsi="仿宋" w:eastAsia="仿宋" w:cs="仿宋"/>
          <w:b/>
          <w:bCs/>
          <w:color w:val="auto"/>
          <w:sz w:val="20"/>
          <w:szCs w:val="20"/>
        </w:rPr>
        <w:t>供应商（全称）：</w:t>
      </w:r>
      <w:r>
        <w:rPr>
          <w:rFonts w:hint="eastAsia" w:ascii="仿宋" w:hAnsi="仿宋" w:eastAsia="仿宋" w:cs="仿宋"/>
          <w:color w:val="auto"/>
          <w:sz w:val="20"/>
          <w:szCs w:val="20"/>
        </w:rPr>
        <w:t xml:space="preserve"> </w:t>
      </w:r>
    </w:p>
    <w:p w14:paraId="361D3963">
      <w:pPr>
        <w:adjustRightInd w:val="0"/>
        <w:snapToGrid w:val="0"/>
        <w:spacing w:line="360" w:lineRule="auto"/>
        <w:ind w:firstLine="400" w:firstLineChars="200"/>
        <w:rPr>
          <w:rFonts w:ascii="仿宋" w:hAnsi="仿宋" w:eastAsia="仿宋" w:cs="仿宋"/>
          <w:color w:val="auto"/>
          <w:sz w:val="20"/>
          <w:szCs w:val="20"/>
          <w:u w:val="single"/>
        </w:rPr>
      </w:pPr>
      <w:r>
        <w:rPr>
          <w:rFonts w:hint="eastAsia" w:ascii="仿宋" w:hAnsi="仿宋" w:eastAsia="仿宋" w:cs="仿宋"/>
          <w:color w:val="auto"/>
          <w:sz w:val="20"/>
          <w:szCs w:val="20"/>
        </w:rPr>
        <w:t>根据</w:t>
      </w:r>
      <w:r>
        <w:rPr>
          <w:rFonts w:hint="eastAsia" w:ascii="仿宋" w:hAnsi="仿宋" w:eastAsia="仿宋" w:cs="仿宋"/>
          <w:color w:val="auto"/>
          <w:sz w:val="20"/>
          <w:szCs w:val="20"/>
          <w:u w:val="single"/>
        </w:rPr>
        <w:t xml:space="preserve">            （项目名称）的</w:t>
      </w:r>
      <w:r>
        <w:rPr>
          <w:rFonts w:hint="eastAsia" w:ascii="仿宋" w:hAnsi="仿宋" w:eastAsia="仿宋" w:cs="仿宋"/>
          <w:color w:val="auto"/>
          <w:sz w:val="20"/>
          <w:szCs w:val="20"/>
        </w:rPr>
        <w:t>采购结果，按照《中华人民共和国民法典》及其他有关法律、法规，遵循平等、自愿、公平和诚信的原则，双方就下述项目范围与相关服务事项协商一致，订立本合同。</w:t>
      </w:r>
    </w:p>
    <w:p w14:paraId="2AFB4C28">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一、项目概况</w:t>
      </w:r>
    </w:p>
    <w:p w14:paraId="7C04C7FE">
      <w:pPr>
        <w:adjustRightInd w:val="0"/>
        <w:snapToGrid w:val="0"/>
        <w:spacing w:line="360" w:lineRule="auto"/>
        <w:ind w:firstLine="400" w:firstLineChars="200"/>
        <w:rPr>
          <w:rFonts w:ascii="仿宋" w:hAnsi="仿宋" w:eastAsia="仿宋" w:cs="仿宋"/>
          <w:color w:val="auto"/>
          <w:sz w:val="20"/>
          <w:szCs w:val="20"/>
          <w:u w:val="single"/>
        </w:rPr>
      </w:pPr>
      <w:r>
        <w:rPr>
          <w:rFonts w:hint="eastAsia" w:ascii="仿宋" w:hAnsi="仿宋" w:eastAsia="仿宋" w:cs="仿宋"/>
          <w:color w:val="auto"/>
          <w:sz w:val="20"/>
          <w:szCs w:val="20"/>
        </w:rPr>
        <w:t>1、项目名称：</w:t>
      </w:r>
      <w:r>
        <w:rPr>
          <w:rFonts w:hint="eastAsia" w:ascii="仿宋" w:hAnsi="仿宋" w:eastAsia="仿宋" w:cs="仿宋"/>
          <w:color w:val="auto"/>
          <w:sz w:val="20"/>
          <w:szCs w:val="20"/>
          <w:u w:val="single"/>
        </w:rPr>
        <w:t xml:space="preserve">                            </w:t>
      </w:r>
    </w:p>
    <w:p w14:paraId="62E06E8C">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2、项目实施地点：</w:t>
      </w:r>
      <w:r>
        <w:rPr>
          <w:rFonts w:hint="eastAsia" w:ascii="仿宋" w:hAnsi="仿宋" w:eastAsia="仿宋" w:cs="仿宋"/>
          <w:color w:val="auto"/>
          <w:sz w:val="20"/>
          <w:szCs w:val="20"/>
          <w:u w:val="single"/>
        </w:rPr>
        <w:t xml:space="preserve">                        </w:t>
      </w:r>
    </w:p>
    <w:p w14:paraId="0120CA7F">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二、组成本合同的文件</w:t>
      </w:r>
    </w:p>
    <w:p w14:paraId="1F7C5AC3">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1、中标（成交）通知书、磋商响应文件、采购文件、澄清、投标补充文件；</w:t>
      </w:r>
    </w:p>
    <w:p w14:paraId="17D48EA4">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2、相关服务建议书；</w:t>
      </w:r>
    </w:p>
    <w:p w14:paraId="077EB3D1">
      <w:pPr>
        <w:adjustRightInd w:val="0"/>
        <w:snapToGrid w:val="0"/>
        <w:spacing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3、本合同签订后，双方依法签订的补充协议也是本合同文件的组成部分。</w:t>
      </w:r>
    </w:p>
    <w:p w14:paraId="04461BE1">
      <w:pPr>
        <w:adjustRightInd w:val="0"/>
        <w:snapToGrid w:val="0"/>
        <w:spacing w:line="360" w:lineRule="auto"/>
        <w:ind w:firstLine="400" w:firstLineChars="200"/>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4、</w:t>
      </w:r>
      <w:r>
        <w:rPr>
          <w:rFonts w:hint="eastAsia" w:ascii="仿宋" w:hAnsi="仿宋" w:eastAsia="仿宋" w:cs="仿宋"/>
          <w:b/>
          <w:color w:val="auto"/>
          <w:sz w:val="20"/>
          <w:szCs w:val="20"/>
        </w:rPr>
        <w:t>供应商提交的本项目服务方案</w:t>
      </w:r>
    </w:p>
    <w:p w14:paraId="3110765D">
      <w:pPr>
        <w:adjustRightInd w:val="0"/>
        <w:snapToGrid w:val="0"/>
        <w:spacing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本项目为技术支持与内容制作服务，乙方协助完成内容制作、发布执行及相关技术支持。所有发布内容的最终审定权归甲方所有。</w:t>
      </w:r>
    </w:p>
    <w:p w14:paraId="68C481B1">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三、合同总价</w:t>
      </w:r>
    </w:p>
    <w:p w14:paraId="3E302F71">
      <w:pPr>
        <w:adjustRightInd w:val="0"/>
        <w:snapToGrid w:val="0"/>
        <w:spacing w:line="360" w:lineRule="auto"/>
        <w:ind w:firstLine="402" w:firstLineChars="200"/>
        <w:rPr>
          <w:rFonts w:ascii="仿宋" w:hAnsi="仿宋" w:eastAsia="仿宋" w:cs="仿宋"/>
          <w:color w:val="auto"/>
          <w:sz w:val="20"/>
          <w:szCs w:val="20"/>
        </w:rPr>
      </w:pPr>
      <w:r>
        <w:rPr>
          <w:rFonts w:hint="eastAsia" w:ascii="仿宋" w:hAnsi="仿宋" w:eastAsia="仿宋" w:cs="仿宋"/>
          <w:b/>
          <w:color w:val="auto"/>
          <w:sz w:val="20"/>
          <w:szCs w:val="20"/>
        </w:rPr>
        <w:t>合同总价</w:t>
      </w:r>
      <w:r>
        <w:rPr>
          <w:rFonts w:hint="eastAsia" w:ascii="仿宋" w:hAnsi="仿宋" w:eastAsia="仿宋" w:cs="仿宋"/>
          <w:color w:val="auto"/>
          <w:sz w:val="20"/>
          <w:szCs w:val="20"/>
        </w:rPr>
        <w:t>（大写）：</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        ）；</w:t>
      </w:r>
    </w:p>
    <w:p w14:paraId="141C8912">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合同总价即成交价，合同总价一次包死，不受市场价变化或实际工作量变化的影响。合同价格为含税价，供应商提供产品发生的一切税（包括增值税）费</w:t>
      </w:r>
      <w:r>
        <w:rPr>
          <w:rFonts w:hint="eastAsia" w:ascii="仿宋" w:hAnsi="仿宋" w:eastAsia="仿宋" w:cs="仿宋"/>
          <w:color w:val="auto"/>
          <w:sz w:val="20"/>
          <w:szCs w:val="20"/>
          <w:lang w:eastAsia="zh-CN"/>
        </w:rPr>
        <w:t>、后期项目验收专家费</w:t>
      </w:r>
      <w:r>
        <w:rPr>
          <w:rFonts w:hint="eastAsia" w:ascii="仿宋" w:hAnsi="仿宋" w:eastAsia="仿宋" w:cs="仿宋"/>
          <w:color w:val="auto"/>
          <w:sz w:val="20"/>
          <w:szCs w:val="20"/>
        </w:rPr>
        <w:t>等都已包含于合同价款中。</w:t>
      </w:r>
    </w:p>
    <w:p w14:paraId="7D83176D">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四、款项结算：</w:t>
      </w:r>
    </w:p>
    <w:p w14:paraId="29E44042">
      <w:pPr>
        <w:spacing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（1）付款方式：合同签订后，成交单位提供对应金额的正式发票，30个日历日内支付合同总价的50%，项目成果交付验收合格后，成交单位提供剩余对应金额的正式发票，30个日历日内支付合同总价的50%。</w:t>
      </w:r>
    </w:p>
    <w:p w14:paraId="74BDCBA2">
      <w:pPr>
        <w:spacing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（2）支付方式：银行转账。</w:t>
      </w:r>
    </w:p>
    <w:p w14:paraId="33538117">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3）支付条件：成交单位持中标通知书、合同、发票，与采购人结算。甲方付款前，乙方应向甲方提供经甲方财务认可的等额正式发票，本合同第一笔发票乙方应于合同签订后10日内开具，第二笔发票乙方应于验收合格后10日内开具，因乙方开具发票不及时，不规范，不合法或涉嫌虚开发票导致甲方付款延迟的，甲方不承担责任;引起税务问题的，乙方需依法向甲方重新开具发票，并就因此给甲方造成实际损失承担赔偿责任，包括但不限于税款、滞纳金、罚款、律师费等相关损失。</w:t>
      </w:r>
    </w:p>
    <w:p w14:paraId="073022AC">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五、服务期</w:t>
      </w:r>
    </w:p>
    <w:p w14:paraId="14B86F56">
      <w:pPr>
        <w:adjustRightInd w:val="0"/>
        <w:snapToGrid w:val="0"/>
        <w:spacing w:line="360" w:lineRule="auto"/>
        <w:ind w:firstLine="400" w:firstLineChars="200"/>
        <w:rPr>
          <w:rFonts w:ascii="仿宋" w:hAnsi="仿宋" w:eastAsia="仿宋" w:cs="仿宋"/>
          <w:bCs/>
          <w:color w:val="auto"/>
          <w:sz w:val="20"/>
          <w:szCs w:val="20"/>
        </w:rPr>
      </w:pPr>
      <w:r>
        <w:rPr>
          <w:rFonts w:hint="eastAsia" w:ascii="仿宋" w:hAnsi="仿宋" w:eastAsia="仿宋" w:cs="仿宋"/>
          <w:bCs/>
          <w:color w:val="auto"/>
          <w:sz w:val="20"/>
          <w:szCs w:val="20"/>
        </w:rPr>
        <w:t>自合同签订之日起至2026年12月10日前完成项目总成果验收。</w:t>
      </w:r>
    </w:p>
    <w:p w14:paraId="74875E14">
      <w:pPr>
        <w:adjustRightInd w:val="0"/>
        <w:snapToGrid w:val="0"/>
        <w:spacing w:line="360" w:lineRule="auto"/>
        <w:ind w:firstLine="400" w:firstLineChars="200"/>
        <w:rPr>
          <w:rFonts w:ascii="仿宋" w:hAnsi="仿宋" w:eastAsia="仿宋" w:cs="仿宋"/>
          <w:bCs/>
          <w:color w:val="auto"/>
          <w:sz w:val="20"/>
          <w:szCs w:val="20"/>
        </w:rPr>
      </w:pPr>
      <w:r>
        <w:rPr>
          <w:rFonts w:hint="eastAsia" w:ascii="仿宋" w:hAnsi="仿宋" w:eastAsia="仿宋" w:cs="仿宋"/>
          <w:bCs/>
          <w:color w:val="auto"/>
          <w:sz w:val="20"/>
          <w:szCs w:val="20"/>
        </w:rPr>
        <w:t>各阶段完成期限要求如下：1.资料收集与数据库建立：合同签订后90日内完成，提交阶段性成果；2.资料分析研究与专著初稿编制：合同签订后</w:t>
      </w:r>
      <w:r>
        <w:rPr>
          <w:rFonts w:hint="eastAsia" w:ascii="仿宋" w:hAnsi="仿宋" w:eastAsia="仿宋" w:cs="仿宋"/>
          <w:bCs/>
          <w:color w:val="auto"/>
          <w:sz w:val="20"/>
          <w:szCs w:val="20"/>
          <w:lang w:val="en-US" w:eastAsia="zh-CN"/>
        </w:rPr>
        <w:t>150</w:t>
      </w:r>
      <w:r>
        <w:rPr>
          <w:rFonts w:hint="eastAsia" w:ascii="仿宋" w:hAnsi="仿宋" w:eastAsia="仿宋" w:cs="仿宋"/>
          <w:bCs/>
          <w:color w:val="auto"/>
          <w:sz w:val="20"/>
          <w:szCs w:val="20"/>
        </w:rPr>
        <w:t>日内完成，提交阶段性成果；3.专著出版、短片制作、项目总结报告：2026年11月30日前完成全部成果，提请采购人验收。</w:t>
      </w:r>
    </w:p>
    <w:p w14:paraId="66845E09">
      <w:pPr>
        <w:adjustRightInd w:val="0"/>
        <w:snapToGrid w:val="0"/>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六、内容及要求：</w:t>
      </w:r>
    </w:p>
    <w:p w14:paraId="2108B30F">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即交付的产品、服务内容、数量与磋商响应文件、采购文件等所指明的，或者与本合同所指明的产品、服务内容相一致。</w:t>
      </w:r>
    </w:p>
    <w:p w14:paraId="30292692">
      <w:pPr>
        <w:spacing w:after="120" w:line="360" w:lineRule="auto"/>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服务内容一览表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59"/>
        <w:gridCol w:w="1560"/>
        <w:gridCol w:w="466"/>
        <w:gridCol w:w="4157"/>
        <w:gridCol w:w="466"/>
        <w:gridCol w:w="464"/>
        <w:gridCol w:w="555"/>
        <w:gridCol w:w="601"/>
        <w:gridCol w:w="499"/>
      </w:tblGrid>
      <w:tr w14:paraId="2203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9" w:hRule="atLeast"/>
          <w:jc w:val="center"/>
        </w:trPr>
        <w:tc>
          <w:tcPr>
            <w:tcW w:w="197" w:type="pct"/>
            <w:tcBorders>
              <w:top w:val="single" w:color="auto" w:sz="4" w:space="0"/>
              <w:left w:val="single" w:color="auto" w:sz="4" w:space="0"/>
              <w:bottom w:val="single" w:color="auto" w:sz="4" w:space="0"/>
              <w:right w:val="single" w:color="auto" w:sz="4" w:space="0"/>
            </w:tcBorders>
            <w:vAlign w:val="center"/>
          </w:tcPr>
          <w:p w14:paraId="0D6CD8DA">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序号</w:t>
            </w:r>
          </w:p>
        </w:tc>
        <w:tc>
          <w:tcPr>
            <w:tcW w:w="854" w:type="pct"/>
            <w:tcBorders>
              <w:top w:val="single" w:color="auto" w:sz="4" w:space="0"/>
              <w:left w:val="single" w:color="auto" w:sz="4" w:space="0"/>
              <w:bottom w:val="single" w:color="auto" w:sz="4" w:space="0"/>
              <w:right w:val="single" w:color="auto" w:sz="4" w:space="0"/>
            </w:tcBorders>
            <w:vAlign w:val="center"/>
          </w:tcPr>
          <w:p w14:paraId="17632ED4">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服务</w:t>
            </w:r>
          </w:p>
          <w:p w14:paraId="3B754E8A">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名称</w:t>
            </w:r>
          </w:p>
        </w:tc>
        <w:tc>
          <w:tcPr>
            <w:tcW w:w="255" w:type="pct"/>
            <w:tcBorders>
              <w:top w:val="single" w:color="auto" w:sz="4" w:space="0"/>
              <w:left w:val="single" w:color="auto" w:sz="4" w:space="0"/>
              <w:bottom w:val="single" w:color="auto" w:sz="4" w:space="0"/>
              <w:right w:val="single" w:color="auto" w:sz="4" w:space="0"/>
            </w:tcBorders>
            <w:vAlign w:val="center"/>
          </w:tcPr>
          <w:p w14:paraId="3C85593D">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计量单位</w:t>
            </w:r>
          </w:p>
        </w:tc>
        <w:tc>
          <w:tcPr>
            <w:tcW w:w="2276" w:type="pct"/>
            <w:tcBorders>
              <w:top w:val="single" w:color="auto" w:sz="4" w:space="0"/>
              <w:left w:val="single" w:color="auto" w:sz="4" w:space="0"/>
              <w:bottom w:val="single" w:color="auto" w:sz="4" w:space="0"/>
              <w:right w:val="single" w:color="auto" w:sz="4" w:space="0"/>
            </w:tcBorders>
            <w:vAlign w:val="center"/>
          </w:tcPr>
          <w:p w14:paraId="76F4417E">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具体要求</w:t>
            </w:r>
          </w:p>
        </w:tc>
        <w:tc>
          <w:tcPr>
            <w:tcW w:w="255" w:type="pct"/>
            <w:tcBorders>
              <w:top w:val="single" w:color="auto" w:sz="4" w:space="0"/>
              <w:left w:val="single" w:color="auto" w:sz="4" w:space="0"/>
              <w:bottom w:val="single" w:color="auto" w:sz="4" w:space="0"/>
              <w:right w:val="single" w:color="auto" w:sz="4" w:space="0"/>
            </w:tcBorders>
            <w:vAlign w:val="center"/>
          </w:tcPr>
          <w:p w14:paraId="289BF169">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单价</w:t>
            </w:r>
          </w:p>
        </w:tc>
        <w:tc>
          <w:tcPr>
            <w:tcW w:w="254" w:type="pct"/>
            <w:tcBorders>
              <w:top w:val="single" w:color="auto" w:sz="4" w:space="0"/>
              <w:left w:val="single" w:color="auto" w:sz="4" w:space="0"/>
              <w:bottom w:val="single" w:color="auto" w:sz="4" w:space="0"/>
              <w:right w:val="single" w:color="auto" w:sz="4" w:space="0"/>
            </w:tcBorders>
            <w:vAlign w:val="center"/>
          </w:tcPr>
          <w:p w14:paraId="7EDC3D1E">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数量</w:t>
            </w:r>
          </w:p>
        </w:tc>
        <w:tc>
          <w:tcPr>
            <w:tcW w:w="304" w:type="pct"/>
            <w:tcBorders>
              <w:top w:val="single" w:color="auto" w:sz="4" w:space="0"/>
              <w:left w:val="single" w:color="auto" w:sz="4" w:space="0"/>
              <w:bottom w:val="single" w:color="auto" w:sz="4" w:space="0"/>
              <w:right w:val="single" w:color="auto" w:sz="4" w:space="0"/>
            </w:tcBorders>
            <w:vAlign w:val="center"/>
          </w:tcPr>
          <w:p w14:paraId="562C1B09">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交付地点</w:t>
            </w:r>
          </w:p>
        </w:tc>
        <w:tc>
          <w:tcPr>
            <w:tcW w:w="329" w:type="pct"/>
            <w:tcBorders>
              <w:top w:val="single" w:color="auto" w:sz="4" w:space="0"/>
              <w:left w:val="single" w:color="auto" w:sz="4" w:space="0"/>
              <w:bottom w:val="single" w:color="auto" w:sz="4" w:space="0"/>
              <w:right w:val="single" w:color="auto" w:sz="4" w:space="0"/>
            </w:tcBorders>
            <w:vAlign w:val="center"/>
          </w:tcPr>
          <w:p w14:paraId="0BD56D15">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交付时间</w:t>
            </w:r>
          </w:p>
        </w:tc>
        <w:tc>
          <w:tcPr>
            <w:tcW w:w="273" w:type="pct"/>
            <w:tcBorders>
              <w:top w:val="single" w:color="auto" w:sz="4" w:space="0"/>
              <w:left w:val="single" w:color="auto" w:sz="4" w:space="0"/>
              <w:bottom w:val="single" w:color="auto" w:sz="4" w:space="0"/>
              <w:right w:val="single" w:color="auto" w:sz="4" w:space="0"/>
            </w:tcBorders>
            <w:vAlign w:val="center"/>
          </w:tcPr>
          <w:p w14:paraId="2EE63542">
            <w:pPr>
              <w:spacing w:line="3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rPr>
              <w:t>备注</w:t>
            </w:r>
          </w:p>
        </w:tc>
      </w:tr>
      <w:tr w14:paraId="2485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9" w:hRule="atLeast"/>
          <w:jc w:val="center"/>
        </w:trPr>
        <w:tc>
          <w:tcPr>
            <w:tcW w:w="197" w:type="pct"/>
            <w:tcBorders>
              <w:top w:val="single" w:color="auto" w:sz="4" w:space="0"/>
              <w:left w:val="single" w:color="auto" w:sz="4" w:space="0"/>
              <w:bottom w:val="single" w:color="auto" w:sz="4" w:space="0"/>
              <w:right w:val="single" w:color="auto" w:sz="4" w:space="0"/>
            </w:tcBorders>
            <w:vAlign w:val="center"/>
          </w:tcPr>
          <w:p w14:paraId="7802DA38">
            <w:pPr>
              <w:spacing w:before="156" w:beforeLines="50" w:line="360" w:lineRule="auto"/>
              <w:jc w:val="both"/>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w:t>
            </w:r>
          </w:p>
        </w:tc>
        <w:tc>
          <w:tcPr>
            <w:tcW w:w="854" w:type="pct"/>
            <w:tcBorders>
              <w:top w:val="single" w:color="auto" w:sz="4" w:space="0"/>
              <w:left w:val="single" w:color="auto" w:sz="4" w:space="0"/>
              <w:bottom w:val="single" w:color="auto" w:sz="4" w:space="0"/>
              <w:right w:val="single" w:color="auto" w:sz="4" w:space="0"/>
            </w:tcBorders>
            <w:vAlign w:val="center"/>
          </w:tcPr>
          <w:p w14:paraId="177BE54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（一）系统收集和梳理历史地震及地质构造资料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建立详尽的西安历史地震数据库</w:t>
            </w:r>
            <w:r>
              <w:rPr>
                <w:rFonts w:hint="eastAsia" w:ascii="仿宋" w:hAnsi="仿宋" w:eastAsia="仿宋" w:cs="仿宋"/>
                <w:color w:val="auto"/>
                <w:sz w:val="20"/>
                <w:szCs w:val="20"/>
                <w:highlight w:val="none"/>
                <w:lang w:eastAsia="zh-CN"/>
              </w:rPr>
              <w:t>；</w:t>
            </w:r>
          </w:p>
        </w:tc>
        <w:tc>
          <w:tcPr>
            <w:tcW w:w="255" w:type="pct"/>
            <w:tcBorders>
              <w:top w:val="single" w:color="auto" w:sz="4" w:space="0"/>
              <w:left w:val="single" w:color="auto" w:sz="4" w:space="0"/>
              <w:bottom w:val="single" w:color="auto" w:sz="4" w:space="0"/>
              <w:right w:val="single" w:color="auto" w:sz="4" w:space="0"/>
            </w:tcBorders>
            <w:vAlign w:val="center"/>
          </w:tcPr>
          <w:p w14:paraId="06DAB0CB">
            <w:pPr>
              <w:spacing w:before="156" w:beforeLines="50" w:line="360" w:lineRule="auto"/>
              <w:jc w:val="both"/>
              <w:rPr>
                <w:rFonts w:hint="eastAsia" w:ascii="仿宋" w:hAnsi="仿宋" w:eastAsia="仿宋" w:cs="仿宋"/>
                <w:color w:val="auto"/>
                <w:sz w:val="20"/>
                <w:szCs w:val="20"/>
              </w:rPr>
            </w:pPr>
          </w:p>
        </w:tc>
        <w:tc>
          <w:tcPr>
            <w:tcW w:w="2276" w:type="pct"/>
            <w:tcBorders>
              <w:top w:val="single" w:color="auto" w:sz="4" w:space="0"/>
              <w:left w:val="single" w:color="auto" w:sz="4" w:space="0"/>
              <w:bottom w:val="single" w:color="auto" w:sz="4" w:space="0"/>
              <w:right w:val="single" w:color="auto" w:sz="4" w:space="0"/>
            </w:tcBorders>
            <w:vAlign w:val="center"/>
          </w:tcPr>
          <w:p w14:paraId="37BB0DC8">
            <w:pPr>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highlight w:val="none"/>
              </w:rPr>
              <w:t>收集1487年临潼、咸阳间</w:t>
            </w:r>
            <w:r>
              <w:rPr>
                <w:rFonts w:hint="eastAsia" w:ascii="仿宋" w:hAnsi="仿宋" w:eastAsia="仿宋" w:cs="仿宋"/>
                <w:b w:val="0"/>
                <w:bCs w:val="0"/>
                <w:color w:val="auto"/>
                <w:sz w:val="20"/>
                <w:szCs w:val="20"/>
                <w:highlight w:val="none"/>
              </w:rPr>
              <w:t>6</w:t>
            </w:r>
            <w:r>
              <w:rPr>
                <w:rFonts w:hint="eastAsia" w:ascii="仿宋" w:hAnsi="仿宋" w:eastAsia="仿宋" w:cs="仿宋"/>
                <w:b w:val="0"/>
                <w:bCs w:val="0"/>
                <w:color w:val="auto"/>
                <w:sz w:val="20"/>
                <w:szCs w:val="20"/>
                <w:highlight w:val="none"/>
                <w:vertAlign w:val="superscript"/>
              </w:rPr>
              <w:t>1</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vertAlign w:val="subscript"/>
              </w:rPr>
              <w:t>4</w:t>
            </w:r>
            <w:r>
              <w:rPr>
                <w:rFonts w:hint="eastAsia" w:ascii="仿宋" w:hAnsi="仿宋" w:eastAsia="仿宋" w:cs="仿宋"/>
                <w:color w:val="auto"/>
                <w:sz w:val="20"/>
                <w:szCs w:val="20"/>
                <w:highlight w:val="none"/>
              </w:rPr>
              <w:t>级地震、1556年华县</w:t>
            </w:r>
            <w:r>
              <w:rPr>
                <w:rFonts w:hint="eastAsia" w:ascii="仿宋" w:hAnsi="仿宋" w:eastAsia="仿宋" w:cs="仿宋"/>
                <w:b w:val="0"/>
                <w:bCs w:val="0"/>
                <w:color w:val="auto"/>
                <w:sz w:val="20"/>
                <w:szCs w:val="20"/>
                <w:highlight w:val="none"/>
              </w:rPr>
              <w:t>8</w:t>
            </w:r>
            <w:r>
              <w:rPr>
                <w:rFonts w:hint="eastAsia" w:ascii="仿宋" w:hAnsi="仿宋" w:eastAsia="仿宋" w:cs="仿宋"/>
                <w:b w:val="0"/>
                <w:bCs w:val="0"/>
                <w:color w:val="auto"/>
                <w:sz w:val="20"/>
                <w:szCs w:val="20"/>
                <w:highlight w:val="none"/>
                <w:vertAlign w:val="superscript"/>
              </w:rPr>
              <w:t>1</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vertAlign w:val="subscript"/>
              </w:rPr>
              <w:t>4</w:t>
            </w:r>
            <w:r>
              <w:rPr>
                <w:rFonts w:hint="eastAsia" w:ascii="仿宋" w:hAnsi="仿宋" w:eastAsia="仿宋" w:cs="仿宋"/>
                <w:color w:val="auto"/>
                <w:sz w:val="20"/>
                <w:szCs w:val="20"/>
                <w:highlight w:val="none"/>
              </w:rPr>
              <w:t>地震</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1568年</w:t>
            </w:r>
            <w:r>
              <w:rPr>
                <w:rFonts w:hint="eastAsia" w:ascii="仿宋" w:hAnsi="仿宋" w:eastAsia="仿宋" w:cs="仿宋"/>
                <w:color w:val="auto"/>
                <w:sz w:val="20"/>
                <w:szCs w:val="20"/>
                <w:highlight w:val="none"/>
                <w:lang w:eastAsia="zh-CN"/>
              </w:rPr>
              <w:t>高陵</w:t>
            </w:r>
            <w:r>
              <w:rPr>
                <w:rFonts w:hint="eastAsia" w:ascii="仿宋" w:hAnsi="仿宋" w:eastAsia="仿宋" w:cs="仿宋"/>
                <w:b w:val="0"/>
                <w:bCs w:val="0"/>
                <w:color w:val="auto"/>
                <w:sz w:val="20"/>
                <w:szCs w:val="20"/>
                <w:highlight w:val="none"/>
              </w:rPr>
              <w:t>6</w:t>
            </w:r>
            <w:r>
              <w:rPr>
                <w:rFonts w:hint="eastAsia" w:ascii="仿宋" w:hAnsi="仿宋" w:eastAsia="仿宋" w:cs="仿宋"/>
                <w:b w:val="0"/>
                <w:bCs w:val="0"/>
                <w:color w:val="auto"/>
                <w:sz w:val="20"/>
                <w:szCs w:val="20"/>
                <w:highlight w:val="none"/>
                <w:vertAlign w:val="superscript"/>
              </w:rPr>
              <w:t>3</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vertAlign w:val="subscript"/>
              </w:rPr>
              <w:t>4</w:t>
            </w:r>
            <w:r>
              <w:rPr>
                <w:rFonts w:hint="eastAsia" w:ascii="仿宋" w:hAnsi="仿宋" w:eastAsia="仿宋" w:cs="仿宋"/>
                <w:color w:val="auto"/>
                <w:sz w:val="20"/>
                <w:szCs w:val="20"/>
                <w:highlight w:val="none"/>
              </w:rPr>
              <w:t>级地震等</w:t>
            </w:r>
            <w:r>
              <w:rPr>
                <w:rFonts w:hint="eastAsia" w:ascii="仿宋" w:hAnsi="仿宋" w:eastAsia="仿宋" w:cs="仿宋"/>
                <w:color w:val="auto"/>
                <w:sz w:val="20"/>
                <w:szCs w:val="20"/>
                <w:highlight w:val="none"/>
                <w:lang w:eastAsia="zh-CN"/>
              </w:rPr>
              <w:t>西安及邻区历史地震事件以及</w:t>
            </w:r>
            <w:r>
              <w:rPr>
                <w:rFonts w:hint="eastAsia" w:ascii="仿宋" w:hAnsi="仿宋" w:eastAsia="仿宋" w:cs="仿宋"/>
                <w:color w:val="auto"/>
                <w:sz w:val="20"/>
                <w:szCs w:val="20"/>
                <w:highlight w:val="none"/>
              </w:rPr>
              <w:t>渭河盆地演化历史、地质特点和现状等相</w:t>
            </w:r>
            <w:bookmarkStart w:id="2" w:name="_GoBack"/>
            <w:bookmarkEnd w:id="2"/>
            <w:r>
              <w:rPr>
                <w:rFonts w:hint="eastAsia" w:ascii="仿宋" w:hAnsi="仿宋" w:eastAsia="仿宋" w:cs="仿宋"/>
                <w:color w:val="auto"/>
                <w:sz w:val="20"/>
                <w:szCs w:val="20"/>
                <w:highlight w:val="none"/>
              </w:rPr>
              <w:t>关资料，包括但不限于古籍、地方志、碑文、官方记载、寺庙档案、民间传说、考古发现、口述历史等多种资料来源，并对这些资料进行甄别、考证和编撰，同时结合近年来活动断层探查工作中发现的历史地震遗迹等最新资料、成果，建立详尽的西安历史地震数据库。</w:t>
            </w:r>
          </w:p>
        </w:tc>
        <w:tc>
          <w:tcPr>
            <w:tcW w:w="255" w:type="pct"/>
            <w:tcBorders>
              <w:top w:val="single" w:color="auto" w:sz="4" w:space="0"/>
              <w:left w:val="single" w:color="auto" w:sz="4" w:space="0"/>
              <w:bottom w:val="single" w:color="auto" w:sz="4" w:space="0"/>
              <w:right w:val="single" w:color="auto" w:sz="4" w:space="0"/>
            </w:tcBorders>
            <w:vAlign w:val="center"/>
          </w:tcPr>
          <w:p w14:paraId="5CA8BC10">
            <w:pPr>
              <w:spacing w:before="156" w:beforeLines="50" w:line="360" w:lineRule="auto"/>
              <w:jc w:val="both"/>
              <w:rPr>
                <w:rFonts w:hint="eastAsia" w:ascii="仿宋" w:hAnsi="仿宋" w:eastAsia="仿宋" w:cs="仿宋"/>
                <w:color w:val="auto"/>
                <w:sz w:val="20"/>
                <w:szCs w:val="20"/>
              </w:rPr>
            </w:pPr>
          </w:p>
        </w:tc>
        <w:tc>
          <w:tcPr>
            <w:tcW w:w="254" w:type="pct"/>
            <w:tcBorders>
              <w:top w:val="single" w:color="auto" w:sz="4" w:space="0"/>
              <w:left w:val="single" w:color="auto" w:sz="4" w:space="0"/>
              <w:bottom w:val="single" w:color="auto" w:sz="4" w:space="0"/>
              <w:right w:val="single" w:color="auto" w:sz="4" w:space="0"/>
            </w:tcBorders>
            <w:vAlign w:val="center"/>
          </w:tcPr>
          <w:p w14:paraId="3192E00C">
            <w:pPr>
              <w:spacing w:before="156" w:beforeLines="50" w:line="360" w:lineRule="auto"/>
              <w:jc w:val="both"/>
              <w:rPr>
                <w:rFonts w:hint="eastAsia" w:ascii="仿宋" w:hAnsi="仿宋" w:eastAsia="仿宋" w:cs="仿宋"/>
                <w:color w:val="auto"/>
                <w:sz w:val="20"/>
                <w:szCs w:val="20"/>
              </w:rPr>
            </w:pPr>
          </w:p>
        </w:tc>
        <w:tc>
          <w:tcPr>
            <w:tcW w:w="304" w:type="pct"/>
            <w:tcBorders>
              <w:top w:val="single" w:color="auto" w:sz="4" w:space="0"/>
              <w:left w:val="single" w:color="auto" w:sz="4" w:space="0"/>
              <w:bottom w:val="single" w:color="auto" w:sz="4" w:space="0"/>
              <w:right w:val="single" w:color="auto" w:sz="4" w:space="0"/>
            </w:tcBorders>
            <w:vAlign w:val="center"/>
          </w:tcPr>
          <w:p w14:paraId="54D65FEC">
            <w:pPr>
              <w:spacing w:before="156" w:beforeLines="50" w:line="360" w:lineRule="auto"/>
              <w:jc w:val="both"/>
              <w:rPr>
                <w:rFonts w:hint="eastAsia" w:ascii="仿宋" w:hAnsi="仿宋" w:eastAsia="仿宋" w:cs="仿宋"/>
                <w:color w:val="auto"/>
                <w:sz w:val="20"/>
                <w:szCs w:val="20"/>
              </w:rPr>
            </w:pPr>
          </w:p>
        </w:tc>
        <w:tc>
          <w:tcPr>
            <w:tcW w:w="329" w:type="pct"/>
            <w:tcBorders>
              <w:top w:val="single" w:color="auto" w:sz="4" w:space="0"/>
              <w:left w:val="single" w:color="auto" w:sz="4" w:space="0"/>
              <w:bottom w:val="single" w:color="auto" w:sz="4" w:space="0"/>
              <w:right w:val="single" w:color="auto" w:sz="4" w:space="0"/>
            </w:tcBorders>
            <w:vAlign w:val="center"/>
          </w:tcPr>
          <w:p w14:paraId="551E6476">
            <w:pPr>
              <w:spacing w:before="156" w:beforeLines="50" w:line="360" w:lineRule="auto"/>
              <w:jc w:val="both"/>
              <w:rPr>
                <w:rFonts w:hint="eastAsia" w:ascii="仿宋" w:hAnsi="仿宋" w:eastAsia="仿宋" w:cs="仿宋"/>
                <w:color w:val="auto"/>
                <w:sz w:val="20"/>
                <w:szCs w:val="20"/>
              </w:rPr>
            </w:pPr>
          </w:p>
        </w:tc>
        <w:tc>
          <w:tcPr>
            <w:tcW w:w="273" w:type="pct"/>
            <w:tcBorders>
              <w:top w:val="single" w:color="auto" w:sz="4" w:space="0"/>
              <w:left w:val="single" w:color="auto" w:sz="4" w:space="0"/>
              <w:bottom w:val="single" w:color="auto" w:sz="4" w:space="0"/>
              <w:right w:val="single" w:color="auto" w:sz="4" w:space="0"/>
            </w:tcBorders>
            <w:vAlign w:val="center"/>
          </w:tcPr>
          <w:p w14:paraId="65587A8F">
            <w:pPr>
              <w:spacing w:before="156" w:beforeLines="50" w:line="360" w:lineRule="auto"/>
              <w:jc w:val="both"/>
              <w:rPr>
                <w:rFonts w:hint="eastAsia" w:ascii="仿宋" w:hAnsi="仿宋" w:eastAsia="仿宋" w:cs="仿宋"/>
                <w:color w:val="auto"/>
                <w:sz w:val="20"/>
                <w:szCs w:val="20"/>
              </w:rPr>
            </w:pPr>
          </w:p>
        </w:tc>
      </w:tr>
      <w:tr w14:paraId="7ABA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9" w:hRule="atLeast"/>
          <w:jc w:val="center"/>
        </w:trPr>
        <w:tc>
          <w:tcPr>
            <w:tcW w:w="197" w:type="pct"/>
            <w:tcBorders>
              <w:top w:val="single" w:color="auto" w:sz="4" w:space="0"/>
              <w:left w:val="single" w:color="auto" w:sz="4" w:space="0"/>
              <w:bottom w:val="single" w:color="auto" w:sz="4" w:space="0"/>
              <w:right w:val="single" w:color="auto" w:sz="4" w:space="0"/>
            </w:tcBorders>
            <w:vAlign w:val="center"/>
          </w:tcPr>
          <w:p w14:paraId="071877CC">
            <w:pPr>
              <w:spacing w:before="156" w:beforeLines="50" w:line="360" w:lineRule="auto"/>
              <w:jc w:val="both"/>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2</w:t>
            </w:r>
          </w:p>
        </w:tc>
        <w:tc>
          <w:tcPr>
            <w:tcW w:w="854" w:type="pct"/>
            <w:tcBorders>
              <w:top w:val="single" w:color="auto" w:sz="4" w:space="0"/>
              <w:left w:val="single" w:color="auto" w:sz="4" w:space="0"/>
              <w:bottom w:val="single" w:color="auto" w:sz="4" w:space="0"/>
              <w:right w:val="single" w:color="auto" w:sz="4" w:space="0"/>
            </w:tcBorders>
            <w:vAlign w:val="center"/>
          </w:tcPr>
          <w:p w14:paraId="2D4DFC7F">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（二）分析历史地震事件，揭示地震活动规律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编制并正式出版专著一部；</w:t>
            </w:r>
          </w:p>
        </w:tc>
        <w:tc>
          <w:tcPr>
            <w:tcW w:w="255" w:type="pct"/>
            <w:tcBorders>
              <w:top w:val="single" w:color="auto" w:sz="4" w:space="0"/>
              <w:left w:val="single" w:color="auto" w:sz="4" w:space="0"/>
              <w:bottom w:val="single" w:color="auto" w:sz="4" w:space="0"/>
              <w:right w:val="single" w:color="auto" w:sz="4" w:space="0"/>
            </w:tcBorders>
            <w:vAlign w:val="center"/>
          </w:tcPr>
          <w:p w14:paraId="72D6B298">
            <w:pPr>
              <w:spacing w:before="156" w:beforeLines="50" w:line="360" w:lineRule="auto"/>
              <w:jc w:val="both"/>
              <w:rPr>
                <w:rFonts w:hint="eastAsia" w:ascii="仿宋" w:hAnsi="仿宋" w:eastAsia="仿宋" w:cs="仿宋"/>
                <w:color w:val="auto"/>
                <w:sz w:val="20"/>
                <w:szCs w:val="20"/>
              </w:rPr>
            </w:pPr>
          </w:p>
        </w:tc>
        <w:tc>
          <w:tcPr>
            <w:tcW w:w="2276" w:type="pct"/>
            <w:tcBorders>
              <w:top w:val="single" w:color="auto" w:sz="4" w:space="0"/>
              <w:left w:val="single" w:color="auto" w:sz="4" w:space="0"/>
              <w:bottom w:val="single" w:color="auto" w:sz="4" w:space="0"/>
              <w:right w:val="single" w:color="auto" w:sz="4" w:space="0"/>
            </w:tcBorders>
            <w:vAlign w:val="center"/>
          </w:tcPr>
          <w:p w14:paraId="7F516EB6">
            <w:pPr>
              <w:rPr>
                <w:rFonts w:hint="eastAsia" w:ascii="仿宋" w:hAnsi="仿宋" w:eastAsia="仿宋" w:cs="仿宋"/>
                <w:color w:val="auto"/>
                <w:sz w:val="20"/>
                <w:szCs w:val="20"/>
              </w:rPr>
            </w:pPr>
            <w:r>
              <w:rPr>
                <w:rFonts w:hint="eastAsia" w:ascii="仿宋" w:hAnsi="仿宋" w:eastAsia="仿宋" w:cs="仿宋"/>
                <w:color w:val="auto"/>
                <w:sz w:val="20"/>
                <w:szCs w:val="20"/>
                <w:highlight w:val="none"/>
              </w:rPr>
              <w:t>利用现代地震学理论方法，整合现代地震数据及活断层探查成果等，系统分析西安及邻区历史地震的震级、震中位置、影响范围及破坏程度；分析历史地震对重要建筑、人口和社会结构的影响，评估其对西安及周边地区造成的损害；利用现代地震学模型，评估西安及邻区历史地震活动的历史时空分布规律；综合评估西安及周边地区地震风险，给出防震减灾工作建议；编制并出版《西安及邻区历史地震综合研究》</w:t>
            </w:r>
            <w:r>
              <w:rPr>
                <w:rFonts w:hint="eastAsia" w:ascii="仿宋" w:hAnsi="仿宋" w:eastAsia="仿宋" w:cs="仿宋"/>
                <w:color w:val="auto"/>
                <w:sz w:val="20"/>
                <w:szCs w:val="20"/>
                <w:highlight w:val="none"/>
                <w:lang w:val="en-US" w:eastAsia="zh-CN"/>
              </w:rPr>
              <w:t>专著一部（交付不少于300册）</w:t>
            </w:r>
            <w:r>
              <w:rPr>
                <w:rFonts w:hint="eastAsia" w:ascii="仿宋" w:hAnsi="仿宋" w:eastAsia="仿宋" w:cs="仿宋"/>
                <w:color w:val="auto"/>
                <w:sz w:val="20"/>
                <w:szCs w:val="20"/>
                <w:highlight w:val="none"/>
              </w:rPr>
              <w:t>。</w:t>
            </w:r>
          </w:p>
        </w:tc>
        <w:tc>
          <w:tcPr>
            <w:tcW w:w="255" w:type="pct"/>
            <w:tcBorders>
              <w:top w:val="single" w:color="auto" w:sz="4" w:space="0"/>
              <w:left w:val="single" w:color="auto" w:sz="4" w:space="0"/>
              <w:bottom w:val="single" w:color="auto" w:sz="4" w:space="0"/>
              <w:right w:val="single" w:color="auto" w:sz="4" w:space="0"/>
            </w:tcBorders>
            <w:vAlign w:val="center"/>
          </w:tcPr>
          <w:p w14:paraId="46B1AA64">
            <w:pPr>
              <w:spacing w:before="156" w:beforeLines="50" w:line="360" w:lineRule="auto"/>
              <w:jc w:val="both"/>
              <w:rPr>
                <w:rFonts w:hint="eastAsia" w:ascii="仿宋" w:hAnsi="仿宋" w:eastAsia="仿宋" w:cs="仿宋"/>
                <w:color w:val="auto"/>
                <w:sz w:val="20"/>
                <w:szCs w:val="20"/>
              </w:rPr>
            </w:pPr>
          </w:p>
        </w:tc>
        <w:tc>
          <w:tcPr>
            <w:tcW w:w="254" w:type="pct"/>
            <w:tcBorders>
              <w:top w:val="single" w:color="auto" w:sz="4" w:space="0"/>
              <w:left w:val="single" w:color="auto" w:sz="4" w:space="0"/>
              <w:bottom w:val="single" w:color="auto" w:sz="4" w:space="0"/>
              <w:right w:val="single" w:color="auto" w:sz="4" w:space="0"/>
            </w:tcBorders>
            <w:vAlign w:val="center"/>
          </w:tcPr>
          <w:p w14:paraId="235E1A0F">
            <w:pPr>
              <w:spacing w:before="156" w:beforeLines="50" w:line="360" w:lineRule="auto"/>
              <w:jc w:val="both"/>
              <w:rPr>
                <w:rFonts w:hint="eastAsia" w:ascii="仿宋" w:hAnsi="仿宋" w:eastAsia="仿宋" w:cs="仿宋"/>
                <w:color w:val="auto"/>
                <w:sz w:val="20"/>
                <w:szCs w:val="20"/>
              </w:rPr>
            </w:pPr>
          </w:p>
        </w:tc>
        <w:tc>
          <w:tcPr>
            <w:tcW w:w="304" w:type="pct"/>
            <w:tcBorders>
              <w:top w:val="single" w:color="auto" w:sz="4" w:space="0"/>
              <w:left w:val="single" w:color="auto" w:sz="4" w:space="0"/>
              <w:bottom w:val="single" w:color="auto" w:sz="4" w:space="0"/>
              <w:right w:val="single" w:color="auto" w:sz="4" w:space="0"/>
            </w:tcBorders>
            <w:vAlign w:val="center"/>
          </w:tcPr>
          <w:p w14:paraId="00B70F2D">
            <w:pPr>
              <w:spacing w:before="156" w:beforeLines="50" w:line="360" w:lineRule="auto"/>
              <w:jc w:val="both"/>
              <w:rPr>
                <w:rFonts w:hint="eastAsia" w:ascii="仿宋" w:hAnsi="仿宋" w:eastAsia="仿宋" w:cs="仿宋"/>
                <w:color w:val="auto"/>
                <w:sz w:val="20"/>
                <w:szCs w:val="20"/>
              </w:rPr>
            </w:pPr>
          </w:p>
        </w:tc>
        <w:tc>
          <w:tcPr>
            <w:tcW w:w="329" w:type="pct"/>
            <w:tcBorders>
              <w:top w:val="single" w:color="auto" w:sz="4" w:space="0"/>
              <w:left w:val="single" w:color="auto" w:sz="4" w:space="0"/>
              <w:bottom w:val="single" w:color="auto" w:sz="4" w:space="0"/>
              <w:right w:val="single" w:color="auto" w:sz="4" w:space="0"/>
            </w:tcBorders>
            <w:vAlign w:val="center"/>
          </w:tcPr>
          <w:p w14:paraId="0804DA2F">
            <w:pPr>
              <w:spacing w:before="156" w:beforeLines="50" w:line="360" w:lineRule="auto"/>
              <w:jc w:val="both"/>
              <w:rPr>
                <w:rFonts w:hint="eastAsia" w:ascii="仿宋" w:hAnsi="仿宋" w:eastAsia="仿宋" w:cs="仿宋"/>
                <w:color w:val="auto"/>
                <w:sz w:val="20"/>
                <w:szCs w:val="20"/>
              </w:rPr>
            </w:pPr>
          </w:p>
        </w:tc>
        <w:tc>
          <w:tcPr>
            <w:tcW w:w="273" w:type="pct"/>
            <w:tcBorders>
              <w:top w:val="single" w:color="auto" w:sz="4" w:space="0"/>
              <w:left w:val="single" w:color="auto" w:sz="4" w:space="0"/>
              <w:bottom w:val="single" w:color="auto" w:sz="4" w:space="0"/>
              <w:right w:val="single" w:color="auto" w:sz="4" w:space="0"/>
            </w:tcBorders>
            <w:vAlign w:val="center"/>
          </w:tcPr>
          <w:p w14:paraId="3C4D6F18">
            <w:pPr>
              <w:spacing w:before="156" w:beforeLines="50" w:line="360" w:lineRule="auto"/>
              <w:jc w:val="both"/>
              <w:rPr>
                <w:rFonts w:hint="eastAsia" w:ascii="仿宋" w:hAnsi="仿宋" w:eastAsia="仿宋" w:cs="仿宋"/>
                <w:color w:val="auto"/>
                <w:sz w:val="20"/>
                <w:szCs w:val="20"/>
              </w:rPr>
            </w:pPr>
          </w:p>
        </w:tc>
      </w:tr>
      <w:tr w14:paraId="49DB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9" w:hRule="atLeast"/>
          <w:jc w:val="center"/>
        </w:trPr>
        <w:tc>
          <w:tcPr>
            <w:tcW w:w="197" w:type="pct"/>
            <w:tcBorders>
              <w:top w:val="single" w:color="auto" w:sz="4" w:space="0"/>
              <w:left w:val="single" w:color="auto" w:sz="4" w:space="0"/>
              <w:bottom w:val="single" w:color="auto" w:sz="4" w:space="0"/>
              <w:right w:val="single" w:color="auto" w:sz="4" w:space="0"/>
            </w:tcBorders>
            <w:vAlign w:val="center"/>
          </w:tcPr>
          <w:p w14:paraId="38F156F1">
            <w:pPr>
              <w:spacing w:before="156" w:beforeLines="50" w:line="360" w:lineRule="auto"/>
              <w:jc w:val="both"/>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3</w:t>
            </w:r>
          </w:p>
        </w:tc>
        <w:tc>
          <w:tcPr>
            <w:tcW w:w="854" w:type="pct"/>
            <w:tcBorders>
              <w:top w:val="single" w:color="auto" w:sz="4" w:space="0"/>
              <w:left w:val="single" w:color="auto" w:sz="4" w:space="0"/>
              <w:bottom w:val="single" w:color="auto" w:sz="4" w:space="0"/>
              <w:right w:val="single" w:color="auto" w:sz="4" w:space="0"/>
            </w:tcBorders>
            <w:vAlign w:val="center"/>
          </w:tcPr>
          <w:p w14:paraId="73399000">
            <w:pPr>
              <w:spacing w:before="0" w:beforeLines="-2147483648" w:line="240" w:lineRule="auto"/>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（三）制作西安地区显著历史地震事件短片</w:t>
            </w:r>
            <w:r>
              <w:rPr>
                <w:rFonts w:hint="eastAsia" w:ascii="仿宋" w:hAnsi="仿宋" w:eastAsia="仿宋" w:cs="仿宋"/>
                <w:color w:val="auto"/>
                <w:sz w:val="20"/>
                <w:szCs w:val="20"/>
                <w:highlight w:val="none"/>
                <w:lang w:val="en-US" w:eastAsia="zh-CN"/>
              </w:rPr>
              <w:t>一部。</w:t>
            </w:r>
          </w:p>
        </w:tc>
        <w:tc>
          <w:tcPr>
            <w:tcW w:w="255" w:type="pct"/>
            <w:tcBorders>
              <w:top w:val="single" w:color="auto" w:sz="4" w:space="0"/>
              <w:left w:val="single" w:color="auto" w:sz="4" w:space="0"/>
              <w:bottom w:val="single" w:color="auto" w:sz="4" w:space="0"/>
              <w:right w:val="single" w:color="auto" w:sz="4" w:space="0"/>
            </w:tcBorders>
            <w:vAlign w:val="center"/>
          </w:tcPr>
          <w:p w14:paraId="36191E56">
            <w:pPr>
              <w:spacing w:before="156" w:beforeLines="50" w:line="360" w:lineRule="auto"/>
              <w:jc w:val="both"/>
              <w:rPr>
                <w:rFonts w:hint="eastAsia" w:ascii="仿宋" w:hAnsi="仿宋" w:eastAsia="仿宋" w:cs="仿宋"/>
                <w:color w:val="auto"/>
                <w:sz w:val="20"/>
                <w:szCs w:val="20"/>
              </w:rPr>
            </w:pPr>
          </w:p>
        </w:tc>
        <w:tc>
          <w:tcPr>
            <w:tcW w:w="2276" w:type="pct"/>
            <w:tcBorders>
              <w:top w:val="single" w:color="auto" w:sz="4" w:space="0"/>
              <w:left w:val="single" w:color="auto" w:sz="4" w:space="0"/>
              <w:bottom w:val="single" w:color="auto" w:sz="4" w:space="0"/>
              <w:right w:val="single" w:color="auto" w:sz="4" w:space="0"/>
            </w:tcBorders>
            <w:vAlign w:val="center"/>
          </w:tcPr>
          <w:p w14:paraId="18B84C46">
            <w:pPr>
              <w:rPr>
                <w:rFonts w:hint="eastAsia" w:ascii="仿宋" w:hAnsi="仿宋" w:eastAsia="仿宋" w:cs="仿宋"/>
                <w:color w:val="auto"/>
                <w:sz w:val="20"/>
                <w:szCs w:val="20"/>
              </w:rPr>
            </w:pPr>
            <w:r>
              <w:rPr>
                <w:rFonts w:hint="eastAsia" w:ascii="仿宋" w:hAnsi="仿宋" w:eastAsia="仿宋" w:cs="仿宋"/>
                <w:color w:val="auto"/>
                <w:sz w:val="20"/>
                <w:szCs w:val="20"/>
                <w:highlight w:val="none"/>
              </w:rPr>
              <w:t>聚焦1487年临潼咸阳间地震、1556年华县大地震、1568年高陵地震等显著历史地震事件，讲述历史背景、地震过程、灾害影响等，利用包括历史场景复原、三维动画模拟、专家访谈讲解等方式，系统展示西安地区显著历史地震事件，达到科普宣传与社会推广效果。短片时长不少于10分钟。</w:t>
            </w:r>
          </w:p>
        </w:tc>
        <w:tc>
          <w:tcPr>
            <w:tcW w:w="255" w:type="pct"/>
            <w:tcBorders>
              <w:top w:val="single" w:color="auto" w:sz="4" w:space="0"/>
              <w:left w:val="single" w:color="auto" w:sz="4" w:space="0"/>
              <w:bottom w:val="single" w:color="auto" w:sz="4" w:space="0"/>
              <w:right w:val="single" w:color="auto" w:sz="4" w:space="0"/>
            </w:tcBorders>
            <w:vAlign w:val="center"/>
          </w:tcPr>
          <w:p w14:paraId="6CE9C5ED">
            <w:pPr>
              <w:spacing w:before="156" w:beforeLines="50" w:line="360" w:lineRule="auto"/>
              <w:jc w:val="both"/>
              <w:rPr>
                <w:rFonts w:hint="eastAsia" w:ascii="仿宋" w:hAnsi="仿宋" w:eastAsia="仿宋" w:cs="仿宋"/>
                <w:color w:val="auto"/>
                <w:sz w:val="20"/>
                <w:szCs w:val="20"/>
              </w:rPr>
            </w:pPr>
          </w:p>
        </w:tc>
        <w:tc>
          <w:tcPr>
            <w:tcW w:w="254" w:type="pct"/>
            <w:tcBorders>
              <w:top w:val="single" w:color="auto" w:sz="4" w:space="0"/>
              <w:left w:val="single" w:color="auto" w:sz="4" w:space="0"/>
              <w:bottom w:val="single" w:color="auto" w:sz="4" w:space="0"/>
              <w:right w:val="single" w:color="auto" w:sz="4" w:space="0"/>
            </w:tcBorders>
            <w:vAlign w:val="center"/>
          </w:tcPr>
          <w:p w14:paraId="0384EFCF">
            <w:pPr>
              <w:spacing w:before="156" w:beforeLines="50" w:line="360" w:lineRule="auto"/>
              <w:jc w:val="both"/>
              <w:rPr>
                <w:rFonts w:hint="eastAsia" w:ascii="仿宋" w:hAnsi="仿宋" w:eastAsia="仿宋" w:cs="仿宋"/>
                <w:color w:val="auto"/>
                <w:sz w:val="20"/>
                <w:szCs w:val="20"/>
              </w:rPr>
            </w:pPr>
          </w:p>
        </w:tc>
        <w:tc>
          <w:tcPr>
            <w:tcW w:w="304" w:type="pct"/>
            <w:tcBorders>
              <w:top w:val="single" w:color="auto" w:sz="4" w:space="0"/>
              <w:left w:val="single" w:color="auto" w:sz="4" w:space="0"/>
              <w:bottom w:val="single" w:color="auto" w:sz="4" w:space="0"/>
              <w:right w:val="single" w:color="auto" w:sz="4" w:space="0"/>
            </w:tcBorders>
            <w:vAlign w:val="center"/>
          </w:tcPr>
          <w:p w14:paraId="1923620C">
            <w:pPr>
              <w:spacing w:before="156" w:beforeLines="50" w:line="360" w:lineRule="auto"/>
              <w:jc w:val="both"/>
              <w:rPr>
                <w:rFonts w:hint="eastAsia" w:ascii="仿宋" w:hAnsi="仿宋" w:eastAsia="仿宋" w:cs="仿宋"/>
                <w:color w:val="auto"/>
                <w:sz w:val="20"/>
                <w:szCs w:val="20"/>
              </w:rPr>
            </w:pPr>
          </w:p>
        </w:tc>
        <w:tc>
          <w:tcPr>
            <w:tcW w:w="329" w:type="pct"/>
            <w:tcBorders>
              <w:top w:val="single" w:color="auto" w:sz="4" w:space="0"/>
              <w:left w:val="single" w:color="auto" w:sz="4" w:space="0"/>
              <w:bottom w:val="single" w:color="auto" w:sz="4" w:space="0"/>
              <w:right w:val="single" w:color="auto" w:sz="4" w:space="0"/>
            </w:tcBorders>
            <w:vAlign w:val="center"/>
          </w:tcPr>
          <w:p w14:paraId="46761EC3">
            <w:pPr>
              <w:spacing w:before="156" w:beforeLines="50" w:line="360" w:lineRule="auto"/>
              <w:jc w:val="both"/>
              <w:rPr>
                <w:rFonts w:hint="eastAsia" w:ascii="仿宋" w:hAnsi="仿宋" w:eastAsia="仿宋" w:cs="仿宋"/>
                <w:color w:val="auto"/>
                <w:sz w:val="20"/>
                <w:szCs w:val="20"/>
              </w:rPr>
            </w:pPr>
          </w:p>
        </w:tc>
        <w:tc>
          <w:tcPr>
            <w:tcW w:w="273" w:type="pct"/>
            <w:tcBorders>
              <w:top w:val="single" w:color="auto" w:sz="4" w:space="0"/>
              <w:left w:val="single" w:color="auto" w:sz="4" w:space="0"/>
              <w:bottom w:val="single" w:color="auto" w:sz="4" w:space="0"/>
              <w:right w:val="single" w:color="auto" w:sz="4" w:space="0"/>
            </w:tcBorders>
            <w:vAlign w:val="center"/>
          </w:tcPr>
          <w:p w14:paraId="424B3EAA">
            <w:pPr>
              <w:spacing w:before="156" w:beforeLines="50" w:line="360" w:lineRule="auto"/>
              <w:jc w:val="both"/>
              <w:rPr>
                <w:rFonts w:hint="eastAsia" w:ascii="仿宋" w:hAnsi="仿宋" w:eastAsia="仿宋" w:cs="仿宋"/>
                <w:color w:val="auto"/>
                <w:sz w:val="20"/>
                <w:szCs w:val="20"/>
              </w:rPr>
            </w:pPr>
          </w:p>
        </w:tc>
      </w:tr>
      <w:tr w14:paraId="2484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9" w:hRule="atLeast"/>
          <w:jc w:val="center"/>
        </w:trPr>
        <w:tc>
          <w:tcPr>
            <w:tcW w:w="197" w:type="pct"/>
            <w:tcBorders>
              <w:top w:val="single" w:color="auto" w:sz="4" w:space="0"/>
              <w:left w:val="single" w:color="auto" w:sz="4" w:space="0"/>
              <w:bottom w:val="single" w:color="auto" w:sz="4" w:space="0"/>
              <w:right w:val="single" w:color="auto" w:sz="4" w:space="0"/>
            </w:tcBorders>
            <w:vAlign w:val="center"/>
          </w:tcPr>
          <w:p w14:paraId="6626AD11">
            <w:pPr>
              <w:spacing w:before="156" w:beforeLines="50" w:line="360" w:lineRule="auto"/>
              <w:jc w:val="both"/>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4</w:t>
            </w:r>
          </w:p>
        </w:tc>
        <w:tc>
          <w:tcPr>
            <w:tcW w:w="854" w:type="pct"/>
            <w:tcBorders>
              <w:top w:val="single" w:color="auto" w:sz="4" w:space="0"/>
              <w:left w:val="single" w:color="auto" w:sz="4" w:space="0"/>
              <w:bottom w:val="single" w:color="auto" w:sz="4" w:space="0"/>
              <w:right w:val="single" w:color="auto" w:sz="4" w:space="0"/>
            </w:tcBorders>
            <w:vAlign w:val="center"/>
          </w:tcPr>
          <w:p w14:paraId="403FFC2F">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成果</w:t>
            </w:r>
            <w:r>
              <w:rPr>
                <w:rFonts w:hint="eastAsia" w:ascii="仿宋" w:hAnsi="仿宋" w:eastAsia="仿宋" w:cs="仿宋"/>
                <w:color w:val="auto"/>
                <w:sz w:val="20"/>
                <w:szCs w:val="20"/>
                <w:highlight w:val="none"/>
                <w:lang w:val="en-US" w:eastAsia="zh-CN"/>
              </w:rPr>
              <w:t>内容要求</w:t>
            </w:r>
            <w:r>
              <w:rPr>
                <w:rFonts w:hint="eastAsia" w:ascii="仿宋" w:hAnsi="仿宋" w:eastAsia="仿宋" w:cs="仿宋"/>
                <w:color w:val="auto"/>
                <w:sz w:val="20"/>
                <w:szCs w:val="20"/>
                <w:highlight w:val="none"/>
                <w:lang w:eastAsia="zh-CN"/>
              </w:rPr>
              <w:t>：</w:t>
            </w:r>
          </w:p>
        </w:tc>
        <w:tc>
          <w:tcPr>
            <w:tcW w:w="255" w:type="pct"/>
            <w:tcBorders>
              <w:top w:val="single" w:color="auto" w:sz="4" w:space="0"/>
              <w:left w:val="single" w:color="auto" w:sz="4" w:space="0"/>
              <w:bottom w:val="single" w:color="auto" w:sz="4" w:space="0"/>
              <w:right w:val="single" w:color="auto" w:sz="4" w:space="0"/>
            </w:tcBorders>
            <w:vAlign w:val="center"/>
          </w:tcPr>
          <w:p w14:paraId="438FE446">
            <w:pPr>
              <w:spacing w:before="156" w:beforeLines="50" w:line="360" w:lineRule="auto"/>
              <w:jc w:val="both"/>
              <w:rPr>
                <w:rFonts w:hint="eastAsia" w:ascii="仿宋" w:hAnsi="仿宋" w:eastAsia="仿宋" w:cs="仿宋"/>
                <w:color w:val="auto"/>
                <w:sz w:val="20"/>
                <w:szCs w:val="20"/>
              </w:rPr>
            </w:pPr>
          </w:p>
        </w:tc>
        <w:tc>
          <w:tcPr>
            <w:tcW w:w="2276" w:type="pct"/>
            <w:tcBorders>
              <w:top w:val="single" w:color="auto" w:sz="4" w:space="0"/>
              <w:left w:val="single" w:color="auto" w:sz="4" w:space="0"/>
              <w:bottom w:val="single" w:color="auto" w:sz="4" w:space="0"/>
              <w:right w:val="single" w:color="auto" w:sz="4" w:space="0"/>
            </w:tcBorders>
            <w:vAlign w:val="center"/>
          </w:tcPr>
          <w:p w14:paraId="3F94346D">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1.西安及邻区历史地震数据库1份。</w:t>
            </w:r>
          </w:p>
          <w:p w14:paraId="56A58A74">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2.《西安及邻区历史地震综合研究》</w:t>
            </w:r>
            <w:r>
              <w:rPr>
                <w:rFonts w:hint="eastAsia" w:ascii="仿宋" w:hAnsi="仿宋" w:eastAsia="仿宋" w:cs="仿宋"/>
                <w:color w:val="auto"/>
                <w:sz w:val="20"/>
                <w:szCs w:val="20"/>
                <w:highlight w:val="none"/>
                <w:lang w:val="en-US" w:eastAsia="zh-CN"/>
              </w:rPr>
              <w:t>300</w:t>
            </w:r>
            <w:r>
              <w:rPr>
                <w:rFonts w:hint="eastAsia" w:ascii="仿宋" w:hAnsi="仿宋" w:eastAsia="仿宋" w:cs="仿宋"/>
                <w:color w:val="auto"/>
                <w:sz w:val="20"/>
                <w:szCs w:val="20"/>
                <w:highlight w:val="none"/>
              </w:rPr>
              <w:t>册。</w:t>
            </w:r>
          </w:p>
          <w:p w14:paraId="18335CAE">
            <w:pPr>
              <w:rPr>
                <w:rFonts w:hint="eastAsia" w:ascii="仿宋" w:hAnsi="仿宋" w:eastAsia="仿宋" w:cs="仿宋"/>
                <w:color w:val="auto"/>
                <w:sz w:val="20"/>
                <w:szCs w:val="20"/>
              </w:rPr>
            </w:pPr>
            <w:r>
              <w:rPr>
                <w:rFonts w:hint="eastAsia" w:ascii="仿宋" w:hAnsi="仿宋" w:eastAsia="仿宋" w:cs="仿宋"/>
                <w:color w:val="auto"/>
                <w:sz w:val="20"/>
                <w:szCs w:val="20"/>
                <w:highlight w:val="none"/>
              </w:rPr>
              <w:t>3.西安地区显著历史地震事件短片1部。</w:t>
            </w:r>
          </w:p>
        </w:tc>
        <w:tc>
          <w:tcPr>
            <w:tcW w:w="255" w:type="pct"/>
            <w:tcBorders>
              <w:top w:val="single" w:color="auto" w:sz="4" w:space="0"/>
              <w:left w:val="single" w:color="auto" w:sz="4" w:space="0"/>
              <w:bottom w:val="single" w:color="auto" w:sz="4" w:space="0"/>
              <w:right w:val="single" w:color="auto" w:sz="4" w:space="0"/>
            </w:tcBorders>
            <w:vAlign w:val="center"/>
          </w:tcPr>
          <w:p w14:paraId="633C367F">
            <w:pPr>
              <w:spacing w:before="156" w:beforeLines="50" w:line="360" w:lineRule="auto"/>
              <w:jc w:val="both"/>
              <w:rPr>
                <w:rFonts w:hint="eastAsia" w:ascii="仿宋" w:hAnsi="仿宋" w:eastAsia="仿宋" w:cs="仿宋"/>
                <w:color w:val="auto"/>
                <w:sz w:val="20"/>
                <w:szCs w:val="20"/>
              </w:rPr>
            </w:pPr>
          </w:p>
        </w:tc>
        <w:tc>
          <w:tcPr>
            <w:tcW w:w="254" w:type="pct"/>
            <w:tcBorders>
              <w:top w:val="single" w:color="auto" w:sz="4" w:space="0"/>
              <w:left w:val="single" w:color="auto" w:sz="4" w:space="0"/>
              <w:bottom w:val="single" w:color="auto" w:sz="4" w:space="0"/>
              <w:right w:val="single" w:color="auto" w:sz="4" w:space="0"/>
            </w:tcBorders>
            <w:vAlign w:val="center"/>
          </w:tcPr>
          <w:p w14:paraId="05372A31">
            <w:pPr>
              <w:spacing w:before="156" w:beforeLines="50" w:line="360" w:lineRule="auto"/>
              <w:jc w:val="both"/>
              <w:rPr>
                <w:rFonts w:hint="eastAsia" w:ascii="仿宋" w:hAnsi="仿宋" w:eastAsia="仿宋" w:cs="仿宋"/>
                <w:color w:val="auto"/>
                <w:sz w:val="20"/>
                <w:szCs w:val="20"/>
              </w:rPr>
            </w:pPr>
          </w:p>
        </w:tc>
        <w:tc>
          <w:tcPr>
            <w:tcW w:w="304" w:type="pct"/>
            <w:tcBorders>
              <w:top w:val="single" w:color="auto" w:sz="4" w:space="0"/>
              <w:left w:val="single" w:color="auto" w:sz="4" w:space="0"/>
              <w:bottom w:val="single" w:color="auto" w:sz="4" w:space="0"/>
              <w:right w:val="single" w:color="auto" w:sz="4" w:space="0"/>
            </w:tcBorders>
            <w:vAlign w:val="center"/>
          </w:tcPr>
          <w:p w14:paraId="20FE12D3">
            <w:pPr>
              <w:spacing w:before="156" w:beforeLines="50" w:line="360" w:lineRule="auto"/>
              <w:jc w:val="both"/>
              <w:rPr>
                <w:rFonts w:hint="eastAsia" w:ascii="仿宋" w:hAnsi="仿宋" w:eastAsia="仿宋" w:cs="仿宋"/>
                <w:color w:val="auto"/>
                <w:sz w:val="20"/>
                <w:szCs w:val="20"/>
              </w:rPr>
            </w:pPr>
          </w:p>
        </w:tc>
        <w:tc>
          <w:tcPr>
            <w:tcW w:w="329" w:type="pct"/>
            <w:tcBorders>
              <w:top w:val="single" w:color="auto" w:sz="4" w:space="0"/>
              <w:left w:val="single" w:color="auto" w:sz="4" w:space="0"/>
              <w:bottom w:val="single" w:color="auto" w:sz="4" w:space="0"/>
              <w:right w:val="single" w:color="auto" w:sz="4" w:space="0"/>
            </w:tcBorders>
            <w:vAlign w:val="center"/>
          </w:tcPr>
          <w:p w14:paraId="25BEF709">
            <w:pPr>
              <w:spacing w:before="156" w:beforeLines="50" w:line="360" w:lineRule="auto"/>
              <w:jc w:val="both"/>
              <w:rPr>
                <w:rFonts w:hint="eastAsia" w:ascii="仿宋" w:hAnsi="仿宋" w:eastAsia="仿宋" w:cs="仿宋"/>
                <w:color w:val="auto"/>
                <w:sz w:val="20"/>
                <w:szCs w:val="20"/>
              </w:rPr>
            </w:pPr>
          </w:p>
        </w:tc>
        <w:tc>
          <w:tcPr>
            <w:tcW w:w="273" w:type="pct"/>
            <w:tcBorders>
              <w:top w:val="single" w:color="auto" w:sz="4" w:space="0"/>
              <w:left w:val="single" w:color="auto" w:sz="4" w:space="0"/>
              <w:bottom w:val="single" w:color="auto" w:sz="4" w:space="0"/>
              <w:right w:val="single" w:color="auto" w:sz="4" w:space="0"/>
            </w:tcBorders>
            <w:vAlign w:val="center"/>
          </w:tcPr>
          <w:p w14:paraId="1171DF15">
            <w:pPr>
              <w:spacing w:before="156" w:beforeLines="50" w:line="360" w:lineRule="auto"/>
              <w:jc w:val="both"/>
              <w:rPr>
                <w:rFonts w:hint="eastAsia" w:ascii="仿宋" w:hAnsi="仿宋" w:eastAsia="仿宋" w:cs="仿宋"/>
                <w:color w:val="auto"/>
                <w:sz w:val="20"/>
                <w:szCs w:val="20"/>
              </w:rPr>
            </w:pPr>
          </w:p>
        </w:tc>
      </w:tr>
    </w:tbl>
    <w:p w14:paraId="6C561555">
      <w:pPr>
        <w:adjustRightInd w:val="0"/>
        <w:snapToGrid w:val="0"/>
        <w:spacing w:line="360" w:lineRule="auto"/>
        <w:ind w:firstLine="402" w:firstLineChars="200"/>
        <w:rPr>
          <w:rFonts w:hint="eastAsia" w:ascii="仿宋" w:hAnsi="仿宋" w:eastAsia="仿宋" w:cs="仿宋"/>
          <w:b/>
          <w:color w:val="auto"/>
          <w:sz w:val="20"/>
          <w:szCs w:val="20"/>
        </w:rPr>
      </w:pPr>
    </w:p>
    <w:p w14:paraId="2BA597DE">
      <w:pPr>
        <w:spacing w:line="360" w:lineRule="auto"/>
        <w:rPr>
          <w:rFonts w:ascii="仿宋" w:hAnsi="仿宋" w:eastAsia="仿宋" w:cs="仿宋"/>
          <w:b/>
          <w:bCs/>
          <w:color w:val="auto"/>
          <w:sz w:val="20"/>
          <w:szCs w:val="20"/>
        </w:rPr>
      </w:pPr>
      <w:r>
        <w:rPr>
          <w:rFonts w:hint="eastAsia" w:ascii="仿宋" w:hAnsi="仿宋" w:eastAsia="仿宋" w:cs="仿宋"/>
          <w:b/>
          <w:bCs/>
          <w:color w:val="auto"/>
          <w:sz w:val="20"/>
          <w:szCs w:val="20"/>
        </w:rPr>
        <w:t>七、双方承诺</w:t>
      </w:r>
    </w:p>
    <w:p w14:paraId="6337C04D">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1、供应商向采购人承诺，按照本合同约定提供相关服务。</w:t>
      </w:r>
    </w:p>
    <w:p w14:paraId="41ED8E94">
      <w:pPr>
        <w:adjustRightInd w:val="0"/>
        <w:snapToGrid w:val="0"/>
        <w:spacing w:line="360" w:lineRule="auto"/>
        <w:ind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2、采购人向供应商承诺，按照本合同约定支付服务款项。</w:t>
      </w:r>
    </w:p>
    <w:p w14:paraId="1F1E5E25">
      <w:pPr>
        <w:adjustRightInd w:val="0"/>
        <w:snapToGrid w:val="0"/>
        <w:spacing w:line="360" w:lineRule="auto"/>
        <w:ind w:firstLine="400" w:firstLineChars="200"/>
        <w:rPr>
          <w:rFonts w:hint="default"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3、其他要求</w:t>
      </w:r>
    </w:p>
    <w:p w14:paraId="129FA66E">
      <w:pPr>
        <w:adjustRightInd w:val="0"/>
        <w:snapToGrid w:val="0"/>
        <w:spacing w:line="360" w:lineRule="auto"/>
        <w:ind w:firstLine="400" w:firstLineChars="200"/>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（1）项目实施过程中，根据工作需要，服务商应在项目关键节点（资料收集阶段、分析研究阶段、制作短片阶段等）完成后，向甲方提交阶段性研究成果，以便甲方掌握项目进度。</w:t>
      </w:r>
    </w:p>
    <w:p w14:paraId="020D2463">
      <w:pPr>
        <w:adjustRightInd w:val="0"/>
        <w:snapToGrid w:val="0"/>
        <w:spacing w:line="360" w:lineRule="auto"/>
        <w:ind w:firstLine="400" w:firstLineChars="200"/>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（2）服务商对项目实施中发现的历史地震遗迹做好痕迹留存和研究探查工作。</w:t>
      </w:r>
    </w:p>
    <w:p w14:paraId="371879E0">
      <w:pPr>
        <w:adjustRightInd w:val="0"/>
        <w:snapToGrid w:val="0"/>
        <w:spacing w:line="360" w:lineRule="auto"/>
        <w:ind w:firstLine="400" w:firstLineChars="200"/>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（3）项目研究成果及版权归甲方所有。</w:t>
      </w:r>
    </w:p>
    <w:p w14:paraId="1BD3FCFA">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八、质量验收</w:t>
      </w:r>
    </w:p>
    <w:p w14:paraId="359D7418">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 xml:space="preserve">1 、交付的服务必须等同或优于本项目采购文件“服务内容及要求”所述的标准。若乙方在其响应文件中承诺的技术标准优于本项目采购文件“服务内容及要求”所述标准的，按响应的承诺执行。 </w:t>
      </w:r>
    </w:p>
    <w:p w14:paraId="1B29332D">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 、中标（成交）供应商完成并交付的工作成果需经采购人验收合格，则视为接受。采购人应当在收到完整交付的工作成果后30个工作日内组织验收。如果在验收时采购人表明不接受中标（成交）供应商提交的工作成果并明示不接受的原因，中标供应商应当采取合理之措施进行修改，修改时限不得超过30日，修改完成后重新提交验收，以达到合同规定的要求。</w:t>
      </w:r>
    </w:p>
    <w:p w14:paraId="0A14CD4B">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若成果验收不合格，</w:t>
      </w:r>
      <w:r>
        <w:rPr>
          <w:rFonts w:hint="eastAsia" w:ascii="仿宋" w:hAnsi="仿宋" w:eastAsia="仿宋" w:cs="仿宋"/>
          <w:color w:val="auto"/>
          <w:sz w:val="20"/>
          <w:szCs w:val="20"/>
          <w:lang w:val="en-US" w:eastAsia="zh-CN"/>
        </w:rPr>
        <w:t>供应商</w:t>
      </w:r>
      <w:r>
        <w:rPr>
          <w:rFonts w:hint="eastAsia" w:ascii="仿宋" w:hAnsi="仿宋" w:eastAsia="仿宋" w:cs="仿宋"/>
          <w:color w:val="auto"/>
          <w:sz w:val="20"/>
          <w:szCs w:val="20"/>
        </w:rPr>
        <w:t>应在采购人要求的期限内完成整改，整改后仍不合格的，采购人有权单方解除本合同，</w:t>
      </w:r>
      <w:r>
        <w:rPr>
          <w:rFonts w:hint="eastAsia" w:ascii="仿宋" w:hAnsi="仿宋" w:eastAsia="仿宋" w:cs="仿宋"/>
          <w:color w:val="auto"/>
          <w:sz w:val="20"/>
          <w:szCs w:val="20"/>
          <w:lang w:val="en-US" w:eastAsia="zh-CN"/>
        </w:rPr>
        <w:t>供应商</w:t>
      </w:r>
      <w:r>
        <w:rPr>
          <w:rFonts w:hint="eastAsia" w:ascii="仿宋" w:hAnsi="仿宋" w:eastAsia="仿宋" w:cs="仿宋"/>
          <w:color w:val="auto"/>
          <w:sz w:val="20"/>
          <w:szCs w:val="20"/>
        </w:rPr>
        <w:t>应退还采购人已支付的全部款项，并支付合同总价20%的违约金。若前述违约金不足以弥补采购人因此遭受的全部损失的，</w:t>
      </w:r>
      <w:r>
        <w:rPr>
          <w:rFonts w:hint="eastAsia" w:ascii="仿宋" w:hAnsi="仿宋" w:eastAsia="仿宋" w:cs="仿宋"/>
          <w:color w:val="auto"/>
          <w:sz w:val="20"/>
          <w:szCs w:val="20"/>
          <w:lang w:val="en-US" w:eastAsia="zh-CN"/>
        </w:rPr>
        <w:t>供应商</w:t>
      </w:r>
      <w:r>
        <w:rPr>
          <w:rFonts w:hint="eastAsia" w:ascii="仿宋" w:hAnsi="仿宋" w:eastAsia="仿宋" w:cs="仿宋"/>
          <w:color w:val="auto"/>
          <w:sz w:val="20"/>
          <w:szCs w:val="20"/>
        </w:rPr>
        <w:t>还应予以赔偿。</w:t>
      </w:r>
    </w:p>
    <w:p w14:paraId="49542980">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3 、验收依据：</w:t>
      </w:r>
    </w:p>
    <w:p w14:paraId="2A84908D">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 xml:space="preserve">（1）合同文本； </w:t>
      </w:r>
    </w:p>
    <w:p w14:paraId="46D4BDEF">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（2）响应文件及澄清函、采购文件；</w:t>
      </w:r>
    </w:p>
    <w:p w14:paraId="3DFD733D">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（3）国家和行业制定的相应的标准和规范；</w:t>
      </w:r>
    </w:p>
    <w:p w14:paraId="72CE5F80">
      <w:pPr>
        <w:spacing w:line="360" w:lineRule="auto"/>
        <w:rPr>
          <w:rFonts w:ascii="仿宋" w:hAnsi="仿宋" w:eastAsia="仿宋" w:cs="仿宋"/>
          <w:b/>
          <w:bCs/>
          <w:color w:val="auto"/>
          <w:sz w:val="20"/>
          <w:szCs w:val="20"/>
        </w:rPr>
      </w:pPr>
      <w:r>
        <w:rPr>
          <w:rFonts w:hint="eastAsia" w:ascii="仿宋" w:hAnsi="仿宋" w:eastAsia="仿宋" w:cs="仿宋"/>
          <w:b/>
          <w:bCs/>
          <w:color w:val="auto"/>
          <w:sz w:val="20"/>
          <w:szCs w:val="20"/>
        </w:rPr>
        <w:t>九、项目成果内容</w:t>
      </w:r>
    </w:p>
    <w:p w14:paraId="741A3327">
      <w:pPr>
        <w:spacing w:line="360" w:lineRule="auto"/>
        <w:ind w:firstLine="400" w:firstLineChars="200"/>
        <w:rPr>
          <w:rFonts w:ascii="仿宋" w:hAnsi="仿宋" w:eastAsia="仿宋" w:cs="仿宋"/>
          <w:color w:val="auto"/>
          <w:sz w:val="20"/>
          <w:szCs w:val="20"/>
        </w:rPr>
      </w:pPr>
      <w:r>
        <w:rPr>
          <w:rFonts w:ascii="仿宋" w:hAnsi="仿宋" w:eastAsia="仿宋" w:cs="仿宋"/>
          <w:color w:val="auto"/>
          <w:sz w:val="20"/>
          <w:szCs w:val="20"/>
        </w:rPr>
        <w:t>1</w:t>
      </w:r>
      <w:r>
        <w:rPr>
          <w:rFonts w:hint="eastAsia" w:ascii="仿宋" w:hAnsi="仿宋" w:eastAsia="仿宋" w:cs="仿宋"/>
          <w:color w:val="auto"/>
          <w:sz w:val="20"/>
          <w:szCs w:val="20"/>
        </w:rPr>
        <w:t>、</w:t>
      </w:r>
      <w:r>
        <w:rPr>
          <w:rFonts w:ascii="仿宋" w:hAnsi="仿宋" w:eastAsia="仿宋" w:cs="仿宋"/>
          <w:color w:val="auto"/>
          <w:sz w:val="20"/>
          <w:szCs w:val="20"/>
        </w:rPr>
        <w:t>西安及邻区历史地震数据库 1份。</w:t>
      </w:r>
    </w:p>
    <w:p w14:paraId="63A3C022">
      <w:pPr>
        <w:spacing w:line="360" w:lineRule="auto"/>
        <w:ind w:firstLine="400" w:firstLineChars="200"/>
        <w:rPr>
          <w:rFonts w:ascii="仿宋" w:hAnsi="仿宋" w:eastAsia="仿宋" w:cs="仿宋"/>
          <w:color w:val="auto"/>
          <w:sz w:val="20"/>
          <w:szCs w:val="20"/>
        </w:rPr>
      </w:pPr>
      <w:r>
        <w:rPr>
          <w:rFonts w:ascii="仿宋" w:hAnsi="仿宋" w:eastAsia="仿宋" w:cs="仿宋"/>
          <w:color w:val="auto"/>
          <w:sz w:val="20"/>
          <w:szCs w:val="20"/>
        </w:rPr>
        <w:t>2</w:t>
      </w:r>
      <w:r>
        <w:rPr>
          <w:rFonts w:hint="eastAsia" w:ascii="仿宋" w:hAnsi="仿宋" w:eastAsia="仿宋" w:cs="仿宋"/>
          <w:color w:val="auto"/>
          <w:sz w:val="20"/>
          <w:szCs w:val="20"/>
        </w:rPr>
        <w:t>、</w:t>
      </w:r>
      <w:r>
        <w:rPr>
          <w:rFonts w:ascii="仿宋" w:hAnsi="仿宋" w:eastAsia="仿宋" w:cs="仿宋"/>
          <w:color w:val="auto"/>
          <w:sz w:val="20"/>
          <w:szCs w:val="20"/>
        </w:rPr>
        <w:t xml:space="preserve">《西安及邻区历史地震综合研究》 </w:t>
      </w:r>
      <w:r>
        <w:rPr>
          <w:rFonts w:hint="default" w:ascii="仿宋" w:hAnsi="仿宋" w:eastAsia="仿宋" w:cs="仿宋"/>
          <w:color w:val="auto"/>
          <w:sz w:val="20"/>
          <w:szCs w:val="20"/>
          <w:lang w:val="en-US"/>
        </w:rPr>
        <w:t>300</w:t>
      </w:r>
      <w:r>
        <w:rPr>
          <w:rFonts w:ascii="仿宋" w:hAnsi="仿宋" w:eastAsia="仿宋" w:cs="仿宋"/>
          <w:color w:val="auto"/>
          <w:sz w:val="20"/>
          <w:szCs w:val="20"/>
        </w:rPr>
        <w:t>册。</w:t>
      </w:r>
    </w:p>
    <w:p w14:paraId="0A4C39F8">
      <w:pPr>
        <w:spacing w:line="360" w:lineRule="auto"/>
        <w:ind w:firstLine="400" w:firstLineChars="200"/>
        <w:rPr>
          <w:rFonts w:ascii="仿宋" w:hAnsi="仿宋" w:eastAsia="仿宋" w:cs="仿宋"/>
          <w:color w:val="auto"/>
          <w:sz w:val="20"/>
          <w:szCs w:val="20"/>
        </w:rPr>
      </w:pPr>
      <w:r>
        <w:rPr>
          <w:rFonts w:ascii="仿宋" w:hAnsi="仿宋" w:eastAsia="仿宋" w:cs="仿宋"/>
          <w:color w:val="auto"/>
          <w:sz w:val="20"/>
          <w:szCs w:val="20"/>
        </w:rPr>
        <w:t>3</w:t>
      </w:r>
      <w:r>
        <w:rPr>
          <w:rFonts w:hint="eastAsia" w:ascii="仿宋" w:hAnsi="仿宋" w:eastAsia="仿宋" w:cs="仿宋"/>
          <w:color w:val="auto"/>
          <w:sz w:val="20"/>
          <w:szCs w:val="20"/>
        </w:rPr>
        <w:t>、</w:t>
      </w:r>
      <w:r>
        <w:rPr>
          <w:rFonts w:ascii="仿宋" w:hAnsi="仿宋" w:eastAsia="仿宋" w:cs="仿宋"/>
          <w:color w:val="auto"/>
          <w:sz w:val="20"/>
          <w:szCs w:val="20"/>
        </w:rPr>
        <w:t>西安地区显著历史地震事件短片 1部。</w:t>
      </w:r>
    </w:p>
    <w:p w14:paraId="18F618BB">
      <w:pPr>
        <w:spacing w:line="360" w:lineRule="auto"/>
        <w:ind w:firstLine="400" w:firstLineChars="200"/>
        <w:rPr>
          <w:rFonts w:ascii="仿宋" w:hAnsi="仿宋" w:eastAsia="仿宋" w:cs="仿宋"/>
          <w:color w:val="auto"/>
          <w:sz w:val="20"/>
          <w:szCs w:val="20"/>
        </w:rPr>
      </w:pPr>
      <w:r>
        <w:rPr>
          <w:rFonts w:ascii="仿宋" w:hAnsi="仿宋" w:eastAsia="仿宋" w:cs="仿宋"/>
          <w:color w:val="auto"/>
          <w:sz w:val="20"/>
          <w:szCs w:val="20"/>
        </w:rPr>
        <w:t>4、项目总结报告 1份。</w:t>
      </w:r>
    </w:p>
    <w:p w14:paraId="34B04D5D">
      <w:pPr>
        <w:spacing w:line="360" w:lineRule="auto"/>
        <w:ind w:firstLine="400" w:firstLineChars="200"/>
        <w:rPr>
          <w:rFonts w:ascii="仿宋" w:hAnsi="仿宋" w:eastAsia="仿宋" w:cs="仿宋"/>
          <w:color w:val="auto"/>
          <w:sz w:val="20"/>
          <w:szCs w:val="20"/>
        </w:rPr>
      </w:pPr>
      <w:r>
        <w:rPr>
          <w:rFonts w:ascii="仿宋" w:hAnsi="仿宋" w:eastAsia="仿宋" w:cs="仿宋"/>
          <w:color w:val="auto"/>
          <w:sz w:val="20"/>
          <w:szCs w:val="20"/>
        </w:rPr>
        <w:t>所有成果均需同时提交电子版和纸质版（如有），其中：数据库以可编辑电子表格格式存储于U盘交付；正式出版专著提供纸质版不少于</w:t>
      </w:r>
      <w:r>
        <w:rPr>
          <w:rFonts w:hint="default" w:ascii="仿宋" w:hAnsi="仿宋" w:eastAsia="仿宋" w:cs="仿宋"/>
          <w:color w:val="auto"/>
          <w:sz w:val="20"/>
          <w:szCs w:val="20"/>
          <w:lang w:val="en-US" w:eastAsia="zh"/>
        </w:rPr>
        <w:t>300</w:t>
      </w:r>
      <w:r>
        <w:rPr>
          <w:rFonts w:ascii="仿宋" w:hAnsi="仿宋" w:eastAsia="仿宋" w:cs="仿宋"/>
          <w:color w:val="auto"/>
          <w:sz w:val="20"/>
          <w:szCs w:val="20"/>
        </w:rPr>
        <w:t>册，同时提供PDF格式电子版；短片为1080P及以上清晰度MP4格式视频，存储于U盘交付；项目总结报告提供纸质版1份及可编辑Word格式电子版。</w:t>
      </w:r>
    </w:p>
    <w:p w14:paraId="5D8F5E3D">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十、知识产权</w:t>
      </w:r>
    </w:p>
    <w:p w14:paraId="7BB5DF6B">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4816E68D">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51857F7D">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3、如采用供应商所不拥有的知识产权，则在报价中必须包括合法使用该知识产权的相关费用。</w:t>
      </w:r>
    </w:p>
    <w:p w14:paraId="0913C459">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4、构成本磋商文件的各组成部分，未经采购人书面同意，供应商不得擅自复印或用于非本磋商项目所需的其他目的。</w:t>
      </w:r>
    </w:p>
    <w:p w14:paraId="1105BEE6">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5、项目研究成果及版权归甲方所有。</w:t>
      </w:r>
    </w:p>
    <w:p w14:paraId="3096B91F">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lang w:val="en-US" w:eastAsia="zh-CN"/>
        </w:rPr>
        <w:t>6、</w:t>
      </w:r>
      <w:r>
        <w:rPr>
          <w:rFonts w:hint="eastAsia" w:ascii="仿宋" w:hAnsi="仿宋" w:eastAsia="仿宋" w:cs="仿宋"/>
          <w:color w:val="auto"/>
          <w:sz w:val="20"/>
          <w:szCs w:val="20"/>
        </w:rPr>
        <w:t>双方各自享有在本合同签订前已取得的知识产权。本合同履行过程中，一方仅为履行本合同需要，可授权对方使用其在本合同签订前已取得的知识产权，该授权仅限于本项目目的使用，不得用于其他任何商业用途。</w:t>
      </w:r>
    </w:p>
    <w:p w14:paraId="1979231C">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十一、安全保障</w:t>
      </w:r>
    </w:p>
    <w:p w14:paraId="30A0E70A">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成交单位在各项目执行过程中，应保证所有参与人员的人身、财产安全，在个项目执行过程中所造成的参与人员人身、财产安全意外事故，责任由成交单位承担，与采购单位无关。</w:t>
      </w:r>
    </w:p>
    <w:p w14:paraId="5CF5406D">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供应商在项目实施过程中造成第三方人身损害或财产损失的，由供应商自行承担全部赔偿责任，与采购人无关；若采购人因此被追究责任或承担赔偿责任的，采购人有权向供应商全额追偿。</w:t>
      </w:r>
    </w:p>
    <w:p w14:paraId="524821D9">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十二、保密</w:t>
      </w:r>
    </w:p>
    <w:p w14:paraId="47C03E7A">
      <w:pPr>
        <w:tabs>
          <w:tab w:val="left" w:pos="1080"/>
        </w:tabs>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须严格保密，对工作中了解到的采购人的技术、机密等进行保密，不得向他人泄漏。本合同的解除或终止不免除供应商应承担的保密义务。</w:t>
      </w:r>
    </w:p>
    <w:p w14:paraId="553DB0F5">
      <w:pPr>
        <w:tabs>
          <w:tab w:val="left" w:pos="1080"/>
        </w:tabs>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若供应商违反本保密义务，应向采购人支付合同总价20%的违约金，若违约金不足以弥补采购人实际损失的，供应商还应赔偿采购人的全部损失。</w:t>
      </w:r>
    </w:p>
    <w:p w14:paraId="3CC52F38">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十三、合同争议的解决：</w:t>
      </w:r>
    </w:p>
    <w:p w14:paraId="5B4A5E0F">
      <w:pPr>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合同执行中发生争议的，当事人双方应协商解决，协商达不成一致时，可向采购方所在地人民法院提请诉讼。</w:t>
      </w:r>
    </w:p>
    <w:p w14:paraId="62C9FFC0">
      <w:pPr>
        <w:spacing w:line="360" w:lineRule="auto"/>
        <w:rPr>
          <w:rFonts w:ascii="仿宋" w:hAnsi="仿宋" w:eastAsia="仿宋" w:cs="仿宋"/>
          <w:color w:val="auto"/>
          <w:sz w:val="20"/>
          <w:szCs w:val="20"/>
        </w:rPr>
      </w:pPr>
      <w:r>
        <w:rPr>
          <w:rFonts w:hint="eastAsia" w:ascii="仿宋" w:hAnsi="仿宋" w:eastAsia="仿宋" w:cs="仿宋"/>
          <w:b/>
          <w:color w:val="auto"/>
          <w:sz w:val="20"/>
          <w:szCs w:val="20"/>
        </w:rPr>
        <w:t>十四、</w:t>
      </w:r>
      <w:r>
        <w:rPr>
          <w:rFonts w:hint="eastAsia" w:ascii="仿宋" w:hAnsi="仿宋" w:eastAsia="仿宋" w:cs="仿宋"/>
          <w:color w:val="auto"/>
          <w:sz w:val="20"/>
          <w:szCs w:val="20"/>
        </w:rPr>
        <w:t>不可抗力情况下的免责约定，本合同所指不可抗力是指不能预见、不能避免且不能克服的客观情况，包括但不限于：五级以上地震、重大自然灾害、战争、公共卫生事件、政府管制、突发公共事件等。</w:t>
      </w:r>
    </w:p>
    <w:p w14:paraId="1C72679E">
      <w:pPr>
        <w:spacing w:line="360" w:lineRule="auto"/>
        <w:rPr>
          <w:rFonts w:hint="eastAsia" w:ascii="仿宋" w:hAnsi="仿宋" w:eastAsia="仿宋" w:cs="仿宋"/>
          <w:b/>
          <w:color w:val="auto"/>
          <w:sz w:val="20"/>
          <w:szCs w:val="20"/>
        </w:rPr>
      </w:pPr>
      <w:r>
        <w:rPr>
          <w:rFonts w:hint="eastAsia" w:ascii="仿宋" w:hAnsi="仿宋" w:eastAsia="仿宋" w:cs="仿宋"/>
          <w:b/>
          <w:color w:val="auto"/>
          <w:sz w:val="20"/>
          <w:szCs w:val="20"/>
        </w:rPr>
        <w:t>十五、违约责任：</w:t>
      </w:r>
    </w:p>
    <w:p w14:paraId="1DB1ED47">
      <w:pPr>
        <w:spacing w:line="360" w:lineRule="auto"/>
        <w:ind w:firstLine="400" w:firstLineChars="200"/>
        <w:rPr>
          <w:rFonts w:hint="eastAsia" w:ascii="仿宋" w:hAnsi="仿宋" w:eastAsia="仿宋" w:cs="仿宋"/>
          <w:bCs/>
          <w:color w:val="auto"/>
          <w:sz w:val="20"/>
          <w:szCs w:val="20"/>
        </w:rPr>
      </w:pPr>
      <w:r>
        <w:rPr>
          <w:rFonts w:hint="eastAsia" w:ascii="仿宋" w:hAnsi="仿宋" w:eastAsia="仿宋" w:cs="仿宋"/>
          <w:bCs/>
          <w:color w:val="auto"/>
          <w:sz w:val="20"/>
          <w:szCs w:val="20"/>
        </w:rPr>
        <w:t>1、若供应商未按本合同约定的期限完成各阶段工作或最终验收的，每逾期一日，乙方应按照合同总金额的0.1%向甲方支付违约金；逾期超过30日的，采购人有权解除合同，供应商退还已收采购人款项并支付合同总金额20%的违约金。</w:t>
      </w:r>
    </w:p>
    <w:p w14:paraId="6D15902E">
      <w:pPr>
        <w:spacing w:line="360" w:lineRule="auto"/>
        <w:ind w:firstLine="400" w:firstLineChars="200"/>
        <w:rPr>
          <w:rFonts w:hint="eastAsia" w:ascii="仿宋" w:hAnsi="仿宋" w:eastAsia="仿宋" w:cs="仿宋"/>
          <w:bCs/>
          <w:color w:val="auto"/>
          <w:sz w:val="20"/>
          <w:szCs w:val="20"/>
        </w:rPr>
      </w:pPr>
      <w:r>
        <w:rPr>
          <w:rFonts w:hint="eastAsia" w:ascii="仿宋" w:hAnsi="仿宋" w:eastAsia="仿宋" w:cs="仿宋"/>
          <w:bCs/>
          <w:color w:val="auto"/>
          <w:sz w:val="20"/>
          <w:szCs w:val="20"/>
        </w:rPr>
        <w:t>2、若供应商交付的成果经修改后仍不符合合同约定的验收标准的，甲方有权拒绝接收，解除合同，供应商退还已收采购人款项并支付合同总金额20%的违约金。但如因不可抗力导致的违约除外。</w:t>
      </w:r>
    </w:p>
    <w:p w14:paraId="0DF8397A">
      <w:pPr>
        <w:spacing w:line="360" w:lineRule="auto"/>
        <w:ind w:firstLine="400" w:firstLineChars="200"/>
        <w:rPr>
          <w:rFonts w:hint="eastAsia" w:ascii="仿宋" w:hAnsi="仿宋" w:eastAsia="仿宋" w:cs="仿宋"/>
          <w:bCs/>
          <w:color w:val="auto"/>
          <w:sz w:val="20"/>
          <w:szCs w:val="20"/>
        </w:rPr>
      </w:pPr>
      <w:r>
        <w:rPr>
          <w:rFonts w:hint="eastAsia" w:ascii="仿宋" w:hAnsi="仿宋" w:eastAsia="仿宋" w:cs="仿宋"/>
          <w:bCs/>
          <w:color w:val="auto"/>
          <w:sz w:val="20"/>
          <w:szCs w:val="20"/>
        </w:rPr>
        <w:t>3、除本合同另有约定外，任何一方违反本协议导致本协议无法继续履行的，违约方应赔偿守约方全部损失。但如因不可抗力导致的违约除外。</w:t>
      </w:r>
    </w:p>
    <w:p w14:paraId="381DF366">
      <w:pPr>
        <w:spacing w:line="360" w:lineRule="auto"/>
        <w:ind w:firstLine="400" w:firstLineChars="200"/>
        <w:rPr>
          <w:rFonts w:hint="eastAsia" w:ascii="仿宋" w:hAnsi="仿宋" w:eastAsia="仿宋" w:cs="仿宋"/>
          <w:bCs/>
          <w:color w:val="auto"/>
          <w:sz w:val="20"/>
          <w:szCs w:val="20"/>
        </w:rPr>
      </w:pPr>
      <w:r>
        <w:rPr>
          <w:rFonts w:hint="eastAsia" w:ascii="仿宋" w:hAnsi="仿宋" w:eastAsia="仿宋" w:cs="仿宋"/>
          <w:bCs/>
          <w:color w:val="auto"/>
          <w:sz w:val="20"/>
          <w:szCs w:val="20"/>
        </w:rPr>
        <w:t>4、本合同所称全部损失包括但不限于直接损失、向第三方支付的违约金/赔偿金/罚款、为维护自身权益支付的律师费、诉讼费、仲裁费、公证费、评估费、鉴定费、保全费、保全保险费等费用。</w:t>
      </w:r>
    </w:p>
    <w:p w14:paraId="2F3E5CF2">
      <w:pPr>
        <w:spacing w:line="360" w:lineRule="auto"/>
        <w:rPr>
          <w:rFonts w:ascii="仿宋" w:hAnsi="仿宋" w:eastAsia="仿宋" w:cs="仿宋"/>
          <w:color w:val="auto"/>
          <w:sz w:val="20"/>
          <w:szCs w:val="20"/>
        </w:rPr>
      </w:pPr>
      <w:r>
        <w:rPr>
          <w:rFonts w:hint="eastAsia" w:ascii="仿宋" w:hAnsi="仿宋" w:eastAsia="仿宋" w:cs="仿宋"/>
          <w:b/>
          <w:color w:val="auto"/>
          <w:sz w:val="20"/>
          <w:szCs w:val="20"/>
        </w:rPr>
        <w:t>十六、其他（</w:t>
      </w:r>
      <w:r>
        <w:rPr>
          <w:rFonts w:hint="eastAsia" w:ascii="仿宋" w:hAnsi="仿宋" w:eastAsia="仿宋" w:cs="仿宋"/>
          <w:color w:val="auto"/>
          <w:sz w:val="20"/>
          <w:szCs w:val="20"/>
        </w:rPr>
        <w:t>在合同中具体明确）</w:t>
      </w:r>
    </w:p>
    <w:p w14:paraId="077EE838">
      <w:pPr>
        <w:spacing w:line="360" w:lineRule="auto"/>
        <w:rPr>
          <w:rFonts w:ascii="仿宋" w:hAnsi="仿宋" w:eastAsia="仿宋" w:cs="仿宋"/>
          <w:b/>
          <w:color w:val="auto"/>
          <w:sz w:val="20"/>
          <w:szCs w:val="20"/>
        </w:rPr>
      </w:pPr>
      <w:r>
        <w:rPr>
          <w:rFonts w:hint="eastAsia" w:ascii="仿宋" w:hAnsi="仿宋" w:eastAsia="仿宋" w:cs="仿宋"/>
          <w:b/>
          <w:color w:val="auto"/>
          <w:sz w:val="20"/>
          <w:szCs w:val="20"/>
        </w:rPr>
        <w:t>十七、合同订立</w:t>
      </w:r>
    </w:p>
    <w:p w14:paraId="466620BD">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1. 订立时间：</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年</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月</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日。</w:t>
      </w:r>
    </w:p>
    <w:p w14:paraId="778E5C0C">
      <w:pPr>
        <w:adjustRightInd w:val="0"/>
        <w:snapToGrid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2. 订立地点：</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w:t>
      </w:r>
    </w:p>
    <w:p w14:paraId="36AB8ECC">
      <w:pPr>
        <w:tabs>
          <w:tab w:val="left" w:pos="980"/>
        </w:tabs>
        <w:kinsoku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3. 本合同一式</w:t>
      </w:r>
      <w:r>
        <w:rPr>
          <w:rFonts w:hint="eastAsia" w:ascii="仿宋" w:hAnsi="仿宋" w:eastAsia="仿宋" w:cs="仿宋"/>
          <w:color w:val="auto"/>
          <w:sz w:val="20"/>
          <w:szCs w:val="20"/>
          <w:u w:val="single"/>
        </w:rPr>
        <w:t>伍</w:t>
      </w:r>
      <w:r>
        <w:rPr>
          <w:rFonts w:hint="eastAsia" w:ascii="仿宋" w:hAnsi="仿宋" w:eastAsia="仿宋" w:cs="仿宋"/>
          <w:color w:val="auto"/>
          <w:sz w:val="20"/>
          <w:szCs w:val="20"/>
        </w:rPr>
        <w:t>份，其中，合同</w:t>
      </w:r>
      <w:r>
        <w:rPr>
          <w:rFonts w:hint="eastAsia" w:ascii="仿宋" w:hAnsi="仿宋" w:eastAsia="仿宋" w:cs="仿宋"/>
          <w:color w:val="auto"/>
          <w:sz w:val="20"/>
          <w:szCs w:val="20"/>
          <w:u w:val="single"/>
        </w:rPr>
        <w:t>正本一式贰份</w:t>
      </w:r>
      <w:r>
        <w:rPr>
          <w:rFonts w:hint="eastAsia" w:ascii="仿宋" w:hAnsi="仿宋" w:eastAsia="仿宋" w:cs="仿宋"/>
          <w:color w:val="auto"/>
          <w:sz w:val="20"/>
          <w:szCs w:val="20"/>
        </w:rPr>
        <w:t>，</w:t>
      </w:r>
      <w:r>
        <w:rPr>
          <w:rFonts w:hint="eastAsia" w:ascii="仿宋" w:hAnsi="仿宋" w:eastAsia="仿宋" w:cs="仿宋"/>
          <w:color w:val="auto"/>
          <w:sz w:val="20"/>
          <w:szCs w:val="20"/>
          <w:u w:val="single"/>
        </w:rPr>
        <w:t>副本一式叁份</w:t>
      </w:r>
      <w:r>
        <w:rPr>
          <w:rFonts w:hint="eastAsia" w:ascii="仿宋" w:hAnsi="仿宋" w:eastAsia="仿宋" w:cs="仿宋"/>
          <w:color w:val="auto"/>
          <w:sz w:val="20"/>
          <w:szCs w:val="20"/>
        </w:rPr>
        <w:t>，具有同等法律效力，正副本不一致，以正本为准。采供双方各执</w:t>
      </w:r>
      <w:r>
        <w:rPr>
          <w:rFonts w:hint="eastAsia" w:ascii="仿宋" w:hAnsi="仿宋" w:eastAsia="仿宋" w:cs="仿宋"/>
          <w:color w:val="auto"/>
          <w:sz w:val="20"/>
          <w:szCs w:val="20"/>
          <w:u w:val="single"/>
        </w:rPr>
        <w:t>正本壹份副本壹份</w:t>
      </w:r>
      <w:r>
        <w:rPr>
          <w:rFonts w:hint="eastAsia" w:ascii="仿宋" w:hAnsi="仿宋" w:eastAsia="仿宋" w:cs="仿宋"/>
          <w:color w:val="auto"/>
          <w:sz w:val="20"/>
          <w:szCs w:val="20"/>
        </w:rPr>
        <w:t>，采购代理机构存档</w:t>
      </w:r>
      <w:r>
        <w:rPr>
          <w:rFonts w:hint="eastAsia" w:ascii="仿宋" w:hAnsi="仿宋" w:eastAsia="仿宋" w:cs="仿宋"/>
          <w:color w:val="auto"/>
          <w:sz w:val="20"/>
          <w:szCs w:val="20"/>
          <w:u w:val="single"/>
        </w:rPr>
        <w:t>副本壹份</w:t>
      </w:r>
      <w:r>
        <w:rPr>
          <w:rFonts w:hint="eastAsia" w:ascii="仿宋" w:hAnsi="仿宋" w:eastAsia="仿宋" w:cs="仿宋"/>
          <w:color w:val="auto"/>
          <w:sz w:val="20"/>
          <w:szCs w:val="20"/>
        </w:rPr>
        <w:t>。各方签字盖章后生效，合同执行完毕自动失效。（合同的服务承诺则长期有效）。</w:t>
      </w:r>
    </w:p>
    <w:p w14:paraId="150F2251">
      <w:pPr>
        <w:tabs>
          <w:tab w:val="left" w:pos="980"/>
        </w:tabs>
        <w:kinsoku w:val="0"/>
        <w:spacing w:line="360" w:lineRule="auto"/>
        <w:ind w:firstLine="400" w:firstLineChars="200"/>
        <w:rPr>
          <w:rFonts w:ascii="仿宋" w:hAnsi="仿宋" w:eastAsia="仿宋" w:cs="仿宋"/>
          <w:color w:val="auto"/>
          <w:sz w:val="20"/>
          <w:szCs w:val="20"/>
        </w:rPr>
      </w:pPr>
      <w:r>
        <w:rPr>
          <w:rFonts w:hint="eastAsia" w:ascii="仿宋" w:hAnsi="仿宋" w:eastAsia="仿宋" w:cs="仿宋"/>
          <w:color w:val="auto"/>
          <w:sz w:val="20"/>
          <w:szCs w:val="20"/>
        </w:rPr>
        <w:t>以下无正文。</w:t>
      </w:r>
    </w:p>
    <w:p w14:paraId="6E552743">
      <w:pPr>
        <w:widowControl/>
        <w:adjustRightInd w:val="0"/>
        <w:snapToGrid w:val="0"/>
        <w:spacing w:line="360" w:lineRule="auto"/>
        <w:ind w:firstLine="400" w:firstLineChars="200"/>
        <w:jc w:val="left"/>
        <w:rPr>
          <w:rFonts w:ascii="仿宋" w:hAnsi="仿宋" w:eastAsia="仿宋" w:cs="仿宋"/>
          <w:bCs/>
          <w:color w:val="auto"/>
          <w:kern w:val="0"/>
          <w:sz w:val="20"/>
          <w:szCs w:val="20"/>
        </w:rPr>
      </w:pPr>
    </w:p>
    <w:p w14:paraId="7C9CD1AA">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甲方(需方)：                                乙方(供方)：</w:t>
      </w:r>
    </w:p>
    <w:p w14:paraId="65273600">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 xml:space="preserve">项目负责人：                                法定代表人：    </w:t>
      </w:r>
    </w:p>
    <w:p w14:paraId="7B77CA0B">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授权代表：                        　        授权代表：</w:t>
      </w:r>
    </w:p>
    <w:p w14:paraId="77766332">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 xml:space="preserve">电话：                                      电话： </w:t>
      </w:r>
    </w:p>
    <w:p w14:paraId="414C702D">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 xml:space="preserve">传真：                                      传真： </w:t>
      </w:r>
    </w:p>
    <w:p w14:paraId="019E7FD3">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 xml:space="preserve">开户银行：                                  开户银行： </w:t>
      </w:r>
    </w:p>
    <w:p w14:paraId="4EB8F236">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 xml:space="preserve">帐号：                                      帐号：   </w:t>
      </w:r>
    </w:p>
    <w:p w14:paraId="714E8119">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邮政编码：                                  邮政编码：</w:t>
      </w:r>
    </w:p>
    <w:p w14:paraId="660EC6F0">
      <w:pPr>
        <w:widowControl/>
        <w:adjustRightInd w:val="0"/>
        <w:snapToGrid w:val="0"/>
        <w:spacing w:line="360" w:lineRule="auto"/>
        <w:ind w:firstLine="400" w:firstLineChars="200"/>
        <w:jc w:val="left"/>
        <w:rPr>
          <w:rFonts w:ascii="仿宋" w:hAnsi="仿宋" w:eastAsia="仿宋" w:cs="仿宋"/>
          <w:bCs/>
          <w:color w:val="auto"/>
          <w:kern w:val="0"/>
          <w:sz w:val="20"/>
          <w:szCs w:val="20"/>
        </w:rPr>
      </w:pPr>
      <w:r>
        <w:rPr>
          <w:rFonts w:hint="eastAsia" w:ascii="仿宋" w:hAnsi="仿宋" w:eastAsia="仿宋" w:cs="仿宋"/>
          <w:bCs/>
          <w:color w:val="auto"/>
          <w:kern w:val="0"/>
          <w:sz w:val="20"/>
          <w:szCs w:val="20"/>
        </w:rPr>
        <w:t>签订地点：                                  签订地点：</w:t>
      </w:r>
    </w:p>
    <w:p w14:paraId="1AA1D2CB">
      <w:pPr>
        <w:rPr>
          <w:sz w:val="22"/>
          <w:szCs w:val="28"/>
        </w:rPr>
      </w:pPr>
      <w:r>
        <w:rPr>
          <w:rFonts w:hint="eastAsia" w:ascii="仿宋" w:hAnsi="仿宋" w:eastAsia="仿宋" w:cs="仿宋"/>
          <w:bCs/>
          <w:color w:val="auto"/>
          <w:kern w:val="0"/>
          <w:sz w:val="20"/>
          <w:szCs w:val="20"/>
        </w:rPr>
        <w:t>签约时间：2026年  月  日                    签约时间：2026年  月  日</w:t>
      </w:r>
      <w:bookmarkEnd w:id="0"/>
      <w:bookmarkEnd w:id="1"/>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ZWFmZjk4MWY4Y2VhNjU5MDAyODRmNGNiNWNhYzgifQ=="/>
  </w:docVars>
  <w:rsids>
    <w:rsidRoot w:val="001B1577"/>
    <w:rsid w:val="001B1577"/>
    <w:rsid w:val="0028358E"/>
    <w:rsid w:val="003C4B5A"/>
    <w:rsid w:val="004D1066"/>
    <w:rsid w:val="005E4B67"/>
    <w:rsid w:val="006B3AA2"/>
    <w:rsid w:val="00724AD7"/>
    <w:rsid w:val="00736574"/>
    <w:rsid w:val="007F210C"/>
    <w:rsid w:val="00817C23"/>
    <w:rsid w:val="0091755E"/>
    <w:rsid w:val="00BE05D2"/>
    <w:rsid w:val="00F1493F"/>
    <w:rsid w:val="12C713E8"/>
    <w:rsid w:val="1AD53472"/>
    <w:rsid w:val="1C863D10"/>
    <w:rsid w:val="1E1D48A7"/>
    <w:rsid w:val="2C9820E5"/>
    <w:rsid w:val="33125094"/>
    <w:rsid w:val="352F30E7"/>
    <w:rsid w:val="61FE24ED"/>
    <w:rsid w:val="624E7206"/>
    <w:rsid w:val="741C4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3"/>
    <w:qFormat/>
    <w:uiPriority w:val="0"/>
    <w:pPr>
      <w:autoSpaceDE w:val="0"/>
      <w:autoSpaceDN w:val="0"/>
      <w:adjustRightInd w:val="0"/>
      <w:ind w:firstLine="420"/>
      <w:jc w:val="left"/>
    </w:pPr>
    <w:rPr>
      <w:rFonts w:ascii="宋体" w:hAnsi="Calibri" w:eastAsia="宋体" w:cs="Times New Roman"/>
      <w:kern w:val="0"/>
      <w:sz w:val="24"/>
      <w:szCs w:val="20"/>
    </w:rPr>
  </w:style>
  <w:style w:type="paragraph" w:styleId="3">
    <w:name w:val="Plain Text"/>
    <w:basedOn w:val="1"/>
    <w:link w:val="12"/>
    <w:qFormat/>
    <w:uiPriority w:val="99"/>
    <w:pPr>
      <w:spacing w:line="324" w:lineRule="auto"/>
    </w:pPr>
    <w:rPr>
      <w:rFonts w:ascii="宋体" w:hAnsi="Courier New" w:eastAsia="宋体" w:cs="Times New Roman"/>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纯文本 字符"/>
    <w:basedOn w:val="8"/>
    <w:link w:val="3"/>
    <w:qFormat/>
    <w:uiPriority w:val="99"/>
    <w:rPr>
      <w:rFonts w:ascii="宋体" w:hAnsi="Courier New" w:eastAsia="宋体" w:cs="Times New Roman"/>
      <w:kern w:val="2"/>
      <w:sz w:val="21"/>
      <w:szCs w:val="21"/>
    </w:rPr>
  </w:style>
  <w:style w:type="character" w:customStyle="1" w:styleId="13">
    <w:name w:val="正文缩进 字符"/>
    <w:link w:val="2"/>
    <w:qFormat/>
    <w:uiPriority w:val="0"/>
    <w:rPr>
      <w:rFonts w:ascii="宋体" w:hAnsi="Calibri" w:eastAsia="宋体"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2118</Words>
  <Characters>2134</Characters>
  <Lines>20</Lines>
  <Paragraphs>5</Paragraphs>
  <TotalTime>1</TotalTime>
  <ScaleCrop>false</ScaleCrop>
  <LinksUpToDate>false</LinksUpToDate>
  <CharactersWithSpaces>2715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2024-09-13T06:14:00Z</dcterms:created>
  <dc:creator>lenovo</dc:creator>
  <cp:lastModifiedBy>Administrator</cp:lastModifiedBy>
  <dcterms:modified xsi:type="dcterms:W3CDTF">2026-05-08T01:17:23Z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46B6D5214ADB4D8180690E5AE2CCE8C3_12</vt:lpwstr>
  </property>
  <property fmtid="{D5CDD505-2E9C-101B-9397-08002B2CF9AE}" pid="4" name="KSOTemplateDocerSaveRecord">
    <vt:lpwstr>eyJoZGlkIjoiOGI1NjUzZTFhYWM0NmYwYjE1NTBlNzgxOGI1YTIyMDMifQ==</vt:lpwstr>
  </property>
</Properties>
</file>