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BE2E4">
      <w:pPr>
        <w:spacing w:line="360" w:lineRule="auto"/>
        <w:ind w:firstLine="803"/>
        <w:jc w:val="center"/>
        <w:rPr>
          <w:rFonts w:hint="eastAsia" w:ascii="宋体" w:hAnsi="宋体" w:eastAsia="宋体" w:cs="宋体"/>
          <w:b/>
          <w:bCs/>
          <w:kern w:val="0"/>
          <w:sz w:val="24"/>
          <w:szCs w:val="24"/>
          <w:highlight w:val="none"/>
        </w:rPr>
      </w:pPr>
    </w:p>
    <w:p w14:paraId="12843992">
      <w:pPr>
        <w:spacing w:line="360" w:lineRule="auto"/>
        <w:ind w:firstLine="2570" w:firstLineChars="800"/>
        <w:jc w:val="both"/>
        <w:rPr>
          <w:rFonts w:hint="eastAsia" w:ascii="宋体" w:hAnsi="宋体" w:eastAsia="宋体" w:cs="宋体"/>
          <w:b/>
          <w:bCs/>
          <w:kern w:val="0"/>
          <w:sz w:val="32"/>
          <w:szCs w:val="32"/>
          <w:highlight w:val="none"/>
        </w:rPr>
      </w:pPr>
      <w:r>
        <w:rPr>
          <w:rFonts w:hint="eastAsia" w:hAnsi="宋体" w:cs="宋体"/>
          <w:b/>
          <w:bCs/>
          <w:kern w:val="0"/>
          <w:sz w:val="32"/>
          <w:szCs w:val="32"/>
          <w:highlight w:val="none"/>
          <w:lang w:eastAsia="zh-CN"/>
        </w:rPr>
        <w:t>食堂厨师服务采购</w:t>
      </w:r>
    </w:p>
    <w:p w14:paraId="394E60B0">
      <w:pPr>
        <w:spacing w:line="360" w:lineRule="auto"/>
        <w:ind w:firstLine="803"/>
        <w:jc w:val="center"/>
        <w:rPr>
          <w:rFonts w:hint="eastAsia" w:ascii="宋体" w:hAnsi="宋体" w:eastAsia="宋体" w:cs="宋体"/>
          <w:b/>
          <w:bCs/>
          <w:kern w:val="0"/>
          <w:sz w:val="24"/>
          <w:szCs w:val="24"/>
          <w:highlight w:val="none"/>
          <w:lang w:eastAsia="zh-Hans"/>
        </w:rPr>
      </w:pPr>
    </w:p>
    <w:p w14:paraId="0084A12C">
      <w:pPr>
        <w:spacing w:line="360" w:lineRule="auto"/>
        <w:ind w:firstLine="3373" w:firstLineChars="1200"/>
        <w:jc w:val="both"/>
        <w:rPr>
          <w:rFonts w:hint="eastAsia" w:ascii="宋体" w:hAnsi="宋体" w:eastAsia="宋体" w:cs="宋体"/>
          <w:b/>
          <w:bCs/>
          <w:kern w:val="0"/>
          <w:sz w:val="22"/>
          <w:szCs w:val="22"/>
          <w:highlight w:val="none"/>
          <w:lang w:eastAsia="zh-Hans"/>
        </w:rPr>
      </w:pPr>
      <w:r>
        <w:rPr>
          <w:rFonts w:hint="eastAsia" w:ascii="宋体" w:hAnsi="宋体" w:eastAsia="宋体" w:cs="宋体"/>
          <w:b/>
          <w:bCs/>
          <w:kern w:val="0"/>
          <w:sz w:val="28"/>
          <w:szCs w:val="28"/>
          <w:highlight w:val="none"/>
          <w:lang w:eastAsia="zh-Hans"/>
        </w:rPr>
        <w:t>服 务 合 同</w:t>
      </w:r>
    </w:p>
    <w:p w14:paraId="64E42198">
      <w:pPr>
        <w:spacing w:line="360" w:lineRule="auto"/>
        <w:ind w:firstLine="402"/>
        <w:jc w:val="center"/>
        <w:rPr>
          <w:rFonts w:hint="eastAsia" w:ascii="宋体" w:hAnsi="宋体" w:eastAsia="宋体" w:cs="宋体"/>
          <w:b/>
          <w:bCs/>
          <w:kern w:val="0"/>
          <w:sz w:val="24"/>
          <w:szCs w:val="24"/>
          <w:highlight w:val="none"/>
          <w:lang w:eastAsia="zh-Hans"/>
        </w:rPr>
      </w:pPr>
    </w:p>
    <w:p w14:paraId="35E9FDA9">
      <w:pPr>
        <w:spacing w:line="360" w:lineRule="auto"/>
        <w:ind w:firstLine="402"/>
        <w:jc w:val="center"/>
        <w:rPr>
          <w:rFonts w:hint="eastAsia" w:ascii="宋体" w:hAnsi="宋体" w:eastAsia="宋体" w:cs="宋体"/>
          <w:b/>
          <w:bCs/>
          <w:kern w:val="0"/>
          <w:sz w:val="24"/>
          <w:szCs w:val="24"/>
          <w:highlight w:val="none"/>
          <w:lang w:eastAsia="zh-Hans"/>
        </w:rPr>
      </w:pPr>
    </w:p>
    <w:p w14:paraId="3D6A5A11">
      <w:pPr>
        <w:spacing w:line="360" w:lineRule="auto"/>
        <w:ind w:firstLine="402"/>
        <w:jc w:val="center"/>
        <w:rPr>
          <w:rFonts w:hint="eastAsia" w:ascii="宋体" w:hAnsi="宋体" w:eastAsia="宋体" w:cs="宋体"/>
          <w:b/>
          <w:bCs/>
          <w:kern w:val="0"/>
          <w:sz w:val="24"/>
          <w:szCs w:val="24"/>
          <w:highlight w:val="none"/>
          <w:lang w:eastAsia="zh-Hans"/>
        </w:rPr>
      </w:pPr>
    </w:p>
    <w:p w14:paraId="1E927C1C">
      <w:pPr>
        <w:spacing w:line="360" w:lineRule="auto"/>
        <w:ind w:firstLine="402"/>
        <w:jc w:val="center"/>
        <w:rPr>
          <w:rFonts w:hint="eastAsia" w:ascii="宋体" w:hAnsi="宋体" w:eastAsia="宋体" w:cs="宋体"/>
          <w:b/>
          <w:bCs/>
          <w:kern w:val="0"/>
          <w:sz w:val="24"/>
          <w:szCs w:val="24"/>
          <w:highlight w:val="none"/>
          <w:lang w:eastAsia="zh-Hans"/>
        </w:rPr>
      </w:pPr>
    </w:p>
    <w:p w14:paraId="0698A222">
      <w:pPr>
        <w:spacing w:line="360" w:lineRule="auto"/>
        <w:ind w:firstLine="402"/>
        <w:jc w:val="center"/>
        <w:rPr>
          <w:rFonts w:hint="eastAsia" w:ascii="宋体" w:hAnsi="宋体" w:eastAsia="宋体" w:cs="宋体"/>
          <w:b/>
          <w:bCs/>
          <w:kern w:val="0"/>
          <w:sz w:val="24"/>
          <w:szCs w:val="24"/>
          <w:highlight w:val="none"/>
          <w:lang w:eastAsia="zh-Hans"/>
        </w:rPr>
      </w:pPr>
    </w:p>
    <w:p w14:paraId="7D535AE1">
      <w:pPr>
        <w:spacing w:line="360" w:lineRule="auto"/>
        <w:ind w:firstLine="402"/>
        <w:jc w:val="center"/>
        <w:rPr>
          <w:rFonts w:hint="eastAsia" w:ascii="宋体" w:hAnsi="宋体" w:eastAsia="宋体" w:cs="宋体"/>
          <w:b/>
          <w:bCs/>
          <w:kern w:val="0"/>
          <w:sz w:val="24"/>
          <w:szCs w:val="24"/>
          <w:highlight w:val="none"/>
          <w:lang w:eastAsia="zh-Hans"/>
        </w:rPr>
      </w:pPr>
    </w:p>
    <w:p w14:paraId="5E38ADAD">
      <w:pPr>
        <w:spacing w:line="360" w:lineRule="auto"/>
        <w:ind w:firstLine="402"/>
        <w:jc w:val="center"/>
        <w:rPr>
          <w:rFonts w:hint="eastAsia" w:ascii="宋体" w:hAnsi="宋体" w:eastAsia="宋体" w:cs="宋体"/>
          <w:b/>
          <w:bCs/>
          <w:kern w:val="0"/>
          <w:sz w:val="24"/>
          <w:szCs w:val="24"/>
          <w:highlight w:val="none"/>
          <w:lang w:eastAsia="zh-Hans"/>
        </w:rPr>
      </w:pPr>
    </w:p>
    <w:p w14:paraId="6D1DFC1E">
      <w:pPr>
        <w:spacing w:line="360" w:lineRule="auto"/>
        <w:ind w:firstLine="402"/>
        <w:jc w:val="center"/>
        <w:rPr>
          <w:rFonts w:hint="eastAsia" w:ascii="宋体" w:hAnsi="宋体" w:eastAsia="宋体" w:cs="宋体"/>
          <w:b/>
          <w:bCs/>
          <w:kern w:val="0"/>
          <w:sz w:val="24"/>
          <w:szCs w:val="24"/>
          <w:highlight w:val="none"/>
          <w:lang w:eastAsia="zh-Hans"/>
        </w:rPr>
      </w:pPr>
    </w:p>
    <w:p w14:paraId="21F947E7">
      <w:pPr>
        <w:spacing w:line="360" w:lineRule="auto"/>
        <w:ind w:firstLine="402"/>
        <w:jc w:val="center"/>
        <w:rPr>
          <w:rFonts w:hint="eastAsia" w:ascii="宋体" w:hAnsi="宋体" w:eastAsia="宋体" w:cs="宋体"/>
          <w:b/>
          <w:bCs/>
          <w:kern w:val="0"/>
          <w:sz w:val="24"/>
          <w:szCs w:val="24"/>
          <w:highlight w:val="none"/>
          <w:lang w:eastAsia="zh-Hans"/>
        </w:rPr>
      </w:pPr>
    </w:p>
    <w:p w14:paraId="73CCC499">
      <w:pPr>
        <w:spacing w:line="360" w:lineRule="auto"/>
        <w:ind w:firstLine="402"/>
        <w:jc w:val="center"/>
        <w:rPr>
          <w:rFonts w:hint="eastAsia" w:ascii="宋体" w:hAnsi="宋体" w:eastAsia="宋体" w:cs="宋体"/>
          <w:b/>
          <w:bCs/>
          <w:kern w:val="0"/>
          <w:sz w:val="24"/>
          <w:szCs w:val="24"/>
          <w:highlight w:val="none"/>
          <w:lang w:eastAsia="zh-Hans"/>
        </w:rPr>
      </w:pPr>
    </w:p>
    <w:p w14:paraId="052954C0">
      <w:pPr>
        <w:spacing w:line="360" w:lineRule="auto"/>
        <w:ind w:firstLine="402"/>
        <w:jc w:val="center"/>
        <w:rPr>
          <w:rFonts w:hint="eastAsia" w:ascii="宋体" w:hAnsi="宋体" w:eastAsia="宋体" w:cs="宋体"/>
          <w:b/>
          <w:bCs/>
          <w:kern w:val="0"/>
          <w:sz w:val="24"/>
          <w:szCs w:val="24"/>
          <w:highlight w:val="none"/>
          <w:lang w:eastAsia="zh-Hans"/>
        </w:rPr>
      </w:pPr>
    </w:p>
    <w:p w14:paraId="62AE6D04">
      <w:pPr>
        <w:spacing w:line="360" w:lineRule="auto"/>
        <w:ind w:firstLine="402"/>
        <w:jc w:val="center"/>
        <w:rPr>
          <w:rFonts w:hint="eastAsia" w:ascii="宋体" w:hAnsi="宋体" w:eastAsia="宋体" w:cs="宋体"/>
          <w:b/>
          <w:bCs/>
          <w:kern w:val="0"/>
          <w:sz w:val="24"/>
          <w:szCs w:val="24"/>
          <w:highlight w:val="none"/>
          <w:lang w:eastAsia="zh-Hans"/>
        </w:rPr>
      </w:pPr>
      <w:r>
        <w:rPr>
          <w:rFonts w:hint="eastAsia" w:ascii="宋体" w:hAnsi="宋体" w:eastAsia="宋体" w:cs="宋体"/>
          <w:b/>
          <w:bCs/>
          <w:kern w:val="0"/>
          <w:sz w:val="24"/>
          <w:szCs w:val="24"/>
          <w:highlight w:val="none"/>
          <w:lang w:eastAsia="zh-Hans"/>
        </w:rPr>
        <w:t>（示范文本）</w:t>
      </w:r>
    </w:p>
    <w:p w14:paraId="7B5EDB6D">
      <w:pPr>
        <w:spacing w:line="360" w:lineRule="auto"/>
        <w:ind w:firstLine="402"/>
        <w:jc w:val="left"/>
        <w:rPr>
          <w:rFonts w:hint="eastAsia" w:ascii="宋体" w:hAnsi="宋体" w:eastAsia="宋体" w:cs="宋体"/>
          <w:b/>
          <w:bCs/>
          <w:kern w:val="0"/>
          <w:sz w:val="24"/>
          <w:szCs w:val="24"/>
          <w:highlight w:val="none"/>
          <w:lang w:eastAsia="zh-Hans"/>
        </w:rPr>
      </w:pPr>
    </w:p>
    <w:p w14:paraId="29D6FBA4">
      <w:pPr>
        <w:spacing w:line="360" w:lineRule="auto"/>
        <w:ind w:firstLine="402"/>
        <w:jc w:val="center"/>
        <w:rPr>
          <w:rFonts w:hint="eastAsia" w:ascii="宋体" w:hAnsi="宋体" w:eastAsia="宋体" w:cs="宋体"/>
          <w:b/>
          <w:bCs/>
          <w:kern w:val="0"/>
          <w:sz w:val="24"/>
          <w:szCs w:val="24"/>
          <w:highlight w:val="none"/>
          <w:lang w:eastAsia="zh-Hans"/>
        </w:rPr>
      </w:pPr>
      <w:r>
        <w:rPr>
          <w:rFonts w:hint="eastAsia" w:ascii="宋体" w:hAnsi="宋体" w:eastAsia="宋体" w:cs="宋体"/>
          <w:b/>
          <w:bCs/>
          <w:kern w:val="0"/>
          <w:sz w:val="24"/>
          <w:szCs w:val="24"/>
          <w:highlight w:val="none"/>
          <w:lang w:eastAsia="zh-Hans"/>
        </w:rPr>
        <w:t>成交供应商和采购人也可根据项目特点自行拟定合同条款。</w:t>
      </w:r>
    </w:p>
    <w:p w14:paraId="5565CB95">
      <w:pPr>
        <w:spacing w:line="360" w:lineRule="auto"/>
        <w:ind w:firstLine="480"/>
        <w:jc w:val="center"/>
        <w:rPr>
          <w:rFonts w:hint="eastAsia" w:ascii="宋体" w:hAnsi="宋体" w:eastAsia="宋体" w:cs="宋体"/>
          <w:sz w:val="24"/>
          <w:szCs w:val="24"/>
          <w:highlight w:val="none"/>
        </w:rPr>
      </w:pPr>
    </w:p>
    <w:p w14:paraId="4E2649B0">
      <w:pPr>
        <w:spacing w:line="360" w:lineRule="auto"/>
        <w:ind w:firstLine="482"/>
        <w:rPr>
          <w:rFonts w:hint="eastAsia" w:ascii="宋体" w:hAnsi="宋体" w:eastAsia="宋体" w:cs="宋体"/>
          <w:b/>
          <w:sz w:val="24"/>
          <w:szCs w:val="24"/>
          <w:highlight w:val="none"/>
        </w:rPr>
      </w:pPr>
    </w:p>
    <w:p w14:paraId="14B651A2">
      <w:pPr>
        <w:pStyle w:val="2"/>
        <w:spacing w:line="360" w:lineRule="auto"/>
        <w:ind w:firstLine="480"/>
        <w:rPr>
          <w:rFonts w:hint="eastAsia" w:ascii="宋体" w:hAnsi="宋体" w:eastAsia="宋体" w:cs="宋体"/>
          <w:sz w:val="24"/>
          <w:szCs w:val="24"/>
          <w:highlight w:val="none"/>
        </w:rPr>
      </w:pPr>
    </w:p>
    <w:p w14:paraId="0DD35ED9">
      <w:pPr>
        <w:adjustRightInd w:val="0"/>
        <w:snapToGrid w:val="0"/>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4"/>
          <w:szCs w:val="24"/>
          <w:highlight w:val="none"/>
        </w:rPr>
        <w:br w:type="page"/>
      </w:r>
    </w:p>
    <w:p w14:paraId="01B10E1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甲方：</w:t>
      </w:r>
      <w:r>
        <w:rPr>
          <w:rFonts w:hint="eastAsia" w:ascii="宋体" w:hAnsi="宋体" w:eastAsia="宋体" w:cs="宋体"/>
          <w:color w:val="000000"/>
          <w:kern w:val="0"/>
          <w:sz w:val="24"/>
          <w:szCs w:val="24"/>
          <w:u w:val="single"/>
          <w:lang w:val="en-US" w:eastAsia="zh-CN" w:bidi="ar"/>
        </w:rPr>
        <w:t>西安市公安局交通管理支队长安大队</w:t>
      </w:r>
      <w:r>
        <w:rPr>
          <w:rFonts w:hint="eastAsia" w:ascii="宋体" w:hAnsi="宋体" w:eastAsia="宋体" w:cs="宋体"/>
          <w:color w:val="000000"/>
          <w:kern w:val="0"/>
          <w:sz w:val="24"/>
          <w:szCs w:val="24"/>
          <w:lang w:val="en-US" w:eastAsia="zh-CN" w:bidi="ar"/>
        </w:rPr>
        <w:t>（以下简称甲方）</w:t>
      </w:r>
    </w:p>
    <w:p w14:paraId="3E874F3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乙方：</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（以下简称甲方）</w:t>
      </w:r>
    </w:p>
    <w:p w14:paraId="7185F7D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为了提升甲方餐厅整体水平，为用餐人员提供优质服务，本着互惠、互利、共赢的原则，经甲乙双方友好协商，达成以下条款： </w:t>
      </w:r>
    </w:p>
    <w:p w14:paraId="7C7C79E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一、协议时间、地点 </w:t>
      </w:r>
    </w:p>
    <w:p w14:paraId="70FB873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时间：</w:t>
      </w:r>
      <w:r>
        <w:rPr>
          <w:rFonts w:hint="eastAsia" w:ascii="宋体" w:hAnsi="宋体" w:eastAsia="宋体" w:cs="宋体"/>
          <w:b w:val="0"/>
          <w:bCs/>
          <w:sz w:val="24"/>
          <w:szCs w:val="24"/>
          <w:highlight w:val="none"/>
        </w:rPr>
        <w:t>自合同签订之日起三年，合同一年一签，若上一年服务不能满足采购人要求，采购人可拒绝续签</w:t>
      </w:r>
      <w:r>
        <w:rPr>
          <w:rFonts w:hint="eastAsia" w:ascii="宋体" w:hAnsi="宋体" w:eastAsia="宋体" w:cs="宋体"/>
          <w:b w:val="0"/>
          <w:bCs/>
          <w:sz w:val="24"/>
          <w:szCs w:val="24"/>
          <w:highlight w:val="none"/>
          <w:lang w:eastAsia="zh-CN"/>
        </w:rPr>
        <w:t>。</w:t>
      </w:r>
      <w:r>
        <w:rPr>
          <w:rFonts w:hint="eastAsia" w:hAnsi="宋体" w:cs="宋体"/>
          <w:color w:val="000000"/>
          <w:kern w:val="0"/>
          <w:sz w:val="24"/>
          <w:szCs w:val="24"/>
          <w:lang w:val="en-US" w:eastAsia="zh-CN" w:bidi="ar"/>
        </w:rPr>
        <w:t>第一年服务期为</w:t>
      </w:r>
      <w:r>
        <w:rPr>
          <w:rFonts w:hint="eastAsia" w:ascii="宋体" w:hAnsi="宋体" w:eastAsia="宋体" w:cs="宋体"/>
          <w:color w:val="000000"/>
          <w:kern w:val="0"/>
          <w:sz w:val="24"/>
          <w:szCs w:val="24"/>
          <w:lang w:val="en-US" w:eastAsia="zh-CN" w:bidi="ar"/>
        </w:rPr>
        <w:t>2026年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日起至2027年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日止。 地点：采购人指定地点 </w:t>
      </w:r>
    </w:p>
    <w:p w14:paraId="1D27537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二、协议内容 </w:t>
      </w:r>
    </w:p>
    <w:p w14:paraId="5598906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乙方为甲方的职工餐厅提供食物原材料加工、烹制以及加工场所、餐厅、餐厨用品用具清洁、消毒、卫生等全套劳务及管理服务工作。并要达到国家规定的食品安全标准。甲方就餐人数 </w:t>
      </w:r>
      <w:r>
        <w:rPr>
          <w:rFonts w:hint="eastAsia" w:hAnsi="宋体" w:cs="宋体"/>
          <w:color w:val="000000"/>
          <w:kern w:val="0"/>
          <w:sz w:val="24"/>
          <w:szCs w:val="24"/>
          <w:highlight w:val="none"/>
          <w:lang w:val="en-US" w:eastAsia="zh-CN" w:bidi="ar"/>
        </w:rPr>
        <w:t>550</w:t>
      </w:r>
      <w:r>
        <w:rPr>
          <w:rFonts w:hint="eastAsia" w:ascii="宋体" w:hAnsi="宋体" w:eastAsia="宋体" w:cs="宋体"/>
          <w:color w:val="000000"/>
          <w:kern w:val="0"/>
          <w:sz w:val="24"/>
          <w:szCs w:val="24"/>
          <w:highlight w:val="none"/>
          <w:lang w:val="en-US" w:eastAsia="zh-CN" w:bidi="ar"/>
        </w:rPr>
        <w:t xml:space="preserve">人左右，具体人数以实际就餐人数为准。 </w:t>
      </w:r>
    </w:p>
    <w:p w14:paraId="48245CF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三、服务费用及支付 </w:t>
      </w:r>
    </w:p>
    <w:p w14:paraId="51630FC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1、服务费用标准 </w:t>
      </w:r>
    </w:p>
    <w:p w14:paraId="18B2D68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服务费用标准： </w:t>
      </w:r>
      <w:r>
        <w:rPr>
          <w:rFonts w:hint="eastAsia" w:hAnsi="宋体" w:cs="宋体"/>
          <w:color w:val="000000"/>
          <w:kern w:val="0"/>
          <w:sz w:val="24"/>
          <w:szCs w:val="24"/>
          <w:highlight w:val="none"/>
          <w:lang w:val="en-US" w:eastAsia="zh-CN" w:bidi="ar"/>
        </w:rPr>
        <w:t>采购人</w:t>
      </w:r>
      <w:r>
        <w:rPr>
          <w:rFonts w:hint="eastAsia" w:ascii="宋体" w:hAnsi="宋体" w:eastAsia="宋体" w:cs="宋体"/>
          <w:color w:val="000000"/>
          <w:kern w:val="0"/>
          <w:sz w:val="24"/>
          <w:szCs w:val="24"/>
          <w:highlight w:val="none"/>
          <w:lang w:val="en-US" w:eastAsia="zh-CN" w:bidi="ar"/>
        </w:rPr>
        <w:t>按月向</w:t>
      </w:r>
      <w:r>
        <w:rPr>
          <w:rFonts w:hint="eastAsia" w:hAnsi="宋体" w:cs="宋体"/>
          <w:color w:val="000000"/>
          <w:kern w:val="0"/>
          <w:sz w:val="24"/>
          <w:szCs w:val="24"/>
          <w:highlight w:val="none"/>
          <w:lang w:val="en-US" w:eastAsia="zh-CN" w:bidi="ar"/>
        </w:rPr>
        <w:t>成交供应商</w:t>
      </w:r>
      <w:r>
        <w:rPr>
          <w:rFonts w:hint="eastAsia" w:ascii="宋体" w:hAnsi="宋体" w:eastAsia="宋体" w:cs="宋体"/>
          <w:color w:val="000000"/>
          <w:kern w:val="0"/>
          <w:sz w:val="24"/>
          <w:szCs w:val="24"/>
          <w:highlight w:val="none"/>
          <w:lang w:val="en-US" w:eastAsia="zh-CN" w:bidi="ar"/>
        </w:rPr>
        <w:t>支付服务费；该费用中已包含</w:t>
      </w:r>
      <w:r>
        <w:rPr>
          <w:rFonts w:hint="eastAsia" w:hAnsi="宋体" w:cs="宋体"/>
          <w:color w:val="000000"/>
          <w:kern w:val="0"/>
          <w:sz w:val="24"/>
          <w:szCs w:val="24"/>
          <w:highlight w:val="none"/>
          <w:lang w:val="en-US" w:eastAsia="zh-CN" w:bidi="ar"/>
        </w:rPr>
        <w:t>成交供应商</w:t>
      </w:r>
      <w:r>
        <w:rPr>
          <w:rFonts w:hint="eastAsia" w:ascii="宋体" w:hAnsi="宋体" w:eastAsia="宋体" w:cs="宋体"/>
          <w:color w:val="000000"/>
          <w:kern w:val="0"/>
          <w:sz w:val="24"/>
          <w:szCs w:val="24"/>
          <w:highlight w:val="none"/>
          <w:lang w:val="en-US" w:eastAsia="zh-CN" w:bidi="ar"/>
        </w:rPr>
        <w:t>派驻食堂全部管理人员、炊事人员的薪酬、各项保险及管理费用。每月由</w:t>
      </w:r>
      <w:r>
        <w:rPr>
          <w:rFonts w:hint="eastAsia" w:hAnsi="宋体" w:cs="宋体"/>
          <w:color w:val="000000"/>
          <w:kern w:val="0"/>
          <w:sz w:val="24"/>
          <w:szCs w:val="24"/>
          <w:highlight w:val="none"/>
          <w:lang w:val="en-US" w:eastAsia="zh-CN" w:bidi="ar"/>
        </w:rPr>
        <w:t>采购人根据</w:t>
      </w:r>
      <w:r>
        <w:rPr>
          <w:rFonts w:hint="eastAsia" w:ascii="宋体" w:hAnsi="宋体" w:eastAsia="宋体" w:cs="宋体"/>
          <w:color w:val="000000"/>
          <w:kern w:val="0"/>
          <w:sz w:val="24"/>
          <w:szCs w:val="24"/>
          <w:highlight w:val="none"/>
          <w:lang w:val="en-US" w:eastAsia="zh-CN" w:bidi="ar"/>
        </w:rPr>
        <w:t>当月</w:t>
      </w:r>
      <w:r>
        <w:rPr>
          <w:rFonts w:hint="eastAsia" w:hAnsi="宋体" w:cs="宋体"/>
          <w:color w:val="000000"/>
          <w:kern w:val="0"/>
          <w:sz w:val="24"/>
          <w:szCs w:val="24"/>
          <w:highlight w:val="none"/>
          <w:lang w:val="en-US" w:eastAsia="zh-CN" w:bidi="ar"/>
        </w:rPr>
        <w:t>实际在职工作的炊事人员数量及标准</w:t>
      </w:r>
      <w:r>
        <w:rPr>
          <w:rFonts w:hint="eastAsia" w:ascii="宋体" w:hAnsi="宋体" w:eastAsia="宋体" w:cs="宋体"/>
          <w:color w:val="000000"/>
          <w:kern w:val="0"/>
          <w:sz w:val="24"/>
          <w:szCs w:val="24"/>
          <w:highlight w:val="none"/>
          <w:lang w:val="en-US" w:eastAsia="zh-CN" w:bidi="ar"/>
        </w:rPr>
        <w:t>核算，次月</w:t>
      </w:r>
      <w:r>
        <w:rPr>
          <w:rFonts w:hint="eastAsia" w:hAnsi="宋体" w:cs="宋体"/>
          <w:color w:val="000000"/>
          <w:kern w:val="0"/>
          <w:sz w:val="24"/>
          <w:szCs w:val="24"/>
          <w:highlight w:val="none"/>
          <w:lang w:val="en-US" w:eastAsia="zh-CN" w:bidi="ar"/>
        </w:rPr>
        <w:t>30</w:t>
      </w:r>
      <w:r>
        <w:rPr>
          <w:rFonts w:hint="eastAsia" w:ascii="宋体" w:hAnsi="宋体" w:eastAsia="宋体" w:cs="宋体"/>
          <w:color w:val="000000"/>
          <w:kern w:val="0"/>
          <w:sz w:val="24"/>
          <w:szCs w:val="24"/>
          <w:highlight w:val="none"/>
          <w:lang w:val="en-US" w:eastAsia="zh-CN" w:bidi="ar"/>
        </w:rPr>
        <w:t>日前由</w:t>
      </w:r>
      <w:r>
        <w:rPr>
          <w:rFonts w:hint="eastAsia" w:hAnsi="宋体" w:cs="宋体"/>
          <w:color w:val="000000"/>
          <w:kern w:val="0"/>
          <w:sz w:val="24"/>
          <w:szCs w:val="24"/>
          <w:highlight w:val="none"/>
          <w:lang w:val="en-US" w:eastAsia="zh-CN" w:bidi="ar"/>
        </w:rPr>
        <w:t>采购人</w:t>
      </w:r>
      <w:r>
        <w:rPr>
          <w:rFonts w:hint="eastAsia" w:ascii="宋体" w:hAnsi="宋体" w:eastAsia="宋体" w:cs="宋体"/>
          <w:color w:val="000000"/>
          <w:kern w:val="0"/>
          <w:sz w:val="24"/>
          <w:szCs w:val="24"/>
          <w:highlight w:val="none"/>
          <w:lang w:val="en-US" w:eastAsia="zh-CN" w:bidi="ar"/>
        </w:rPr>
        <w:t>向</w:t>
      </w:r>
      <w:r>
        <w:rPr>
          <w:rFonts w:hint="eastAsia" w:hAnsi="宋体" w:cs="宋体"/>
          <w:color w:val="000000"/>
          <w:kern w:val="0"/>
          <w:sz w:val="24"/>
          <w:szCs w:val="24"/>
          <w:highlight w:val="none"/>
          <w:lang w:val="en-US" w:eastAsia="zh-CN" w:bidi="ar"/>
        </w:rPr>
        <w:t>成交供应商</w:t>
      </w:r>
      <w:r>
        <w:rPr>
          <w:rFonts w:hint="eastAsia" w:ascii="宋体" w:hAnsi="宋体" w:eastAsia="宋体" w:cs="宋体"/>
          <w:color w:val="000000"/>
          <w:kern w:val="0"/>
          <w:sz w:val="24"/>
          <w:szCs w:val="24"/>
          <w:highlight w:val="none"/>
          <w:lang w:val="en-US" w:eastAsia="zh-CN" w:bidi="ar"/>
        </w:rPr>
        <w:t>支付</w:t>
      </w:r>
      <w:r>
        <w:rPr>
          <w:rFonts w:hint="eastAsia" w:hAnsi="宋体" w:cs="宋体"/>
          <w:color w:val="000000"/>
          <w:kern w:val="0"/>
          <w:sz w:val="24"/>
          <w:szCs w:val="24"/>
          <w:highlight w:val="none"/>
          <w:lang w:val="en-US" w:eastAsia="zh-CN" w:bidi="ar"/>
        </w:rPr>
        <w:t>；执勤七中队、执勤八中队建成后采购人根据</w:t>
      </w:r>
      <w:r>
        <w:rPr>
          <w:rFonts w:hint="eastAsia" w:ascii="宋体" w:hAnsi="宋体" w:eastAsia="宋体" w:cs="宋体"/>
          <w:color w:val="000000"/>
          <w:kern w:val="0"/>
          <w:sz w:val="24"/>
          <w:szCs w:val="24"/>
          <w:highlight w:val="none"/>
          <w:lang w:val="en-US" w:eastAsia="zh-CN" w:bidi="ar"/>
        </w:rPr>
        <w:t>当月</w:t>
      </w:r>
      <w:r>
        <w:rPr>
          <w:rFonts w:hint="eastAsia" w:hAnsi="宋体" w:cs="宋体"/>
          <w:color w:val="000000"/>
          <w:kern w:val="0"/>
          <w:sz w:val="24"/>
          <w:szCs w:val="24"/>
          <w:highlight w:val="none"/>
          <w:lang w:val="en-US" w:eastAsia="zh-CN" w:bidi="ar"/>
        </w:rPr>
        <w:t>实际在职工作的炊事人员数量及人员工资，在</w:t>
      </w:r>
      <w:r>
        <w:rPr>
          <w:rFonts w:hint="eastAsia" w:ascii="宋体" w:hAnsi="宋体" w:eastAsia="宋体" w:cs="宋体"/>
          <w:color w:val="000000"/>
          <w:kern w:val="0"/>
          <w:sz w:val="24"/>
          <w:szCs w:val="24"/>
          <w:highlight w:val="none"/>
          <w:lang w:val="en-US" w:eastAsia="zh-CN" w:bidi="ar"/>
        </w:rPr>
        <w:t>次月</w:t>
      </w:r>
      <w:r>
        <w:rPr>
          <w:rFonts w:hint="eastAsia" w:hAnsi="宋体" w:cs="宋体"/>
          <w:color w:val="000000"/>
          <w:kern w:val="0"/>
          <w:sz w:val="24"/>
          <w:szCs w:val="24"/>
          <w:highlight w:val="none"/>
          <w:lang w:val="en-US" w:eastAsia="zh-CN" w:bidi="ar"/>
        </w:rPr>
        <w:t>30</w:t>
      </w:r>
      <w:r>
        <w:rPr>
          <w:rFonts w:hint="eastAsia" w:ascii="宋体" w:hAnsi="宋体" w:eastAsia="宋体" w:cs="宋体"/>
          <w:color w:val="000000"/>
          <w:kern w:val="0"/>
          <w:sz w:val="24"/>
          <w:szCs w:val="24"/>
          <w:highlight w:val="none"/>
          <w:lang w:val="en-US" w:eastAsia="zh-CN" w:bidi="ar"/>
        </w:rPr>
        <w:t>日前向</w:t>
      </w:r>
      <w:r>
        <w:rPr>
          <w:rFonts w:hint="eastAsia" w:hAnsi="宋体" w:cs="宋体"/>
          <w:color w:val="000000"/>
          <w:kern w:val="0"/>
          <w:sz w:val="24"/>
          <w:szCs w:val="24"/>
          <w:highlight w:val="none"/>
          <w:lang w:val="en-US" w:eastAsia="zh-CN" w:bidi="ar"/>
        </w:rPr>
        <w:t>成交供应商</w:t>
      </w:r>
      <w:r>
        <w:rPr>
          <w:rFonts w:hint="eastAsia" w:ascii="宋体" w:hAnsi="宋体" w:eastAsia="宋体" w:cs="宋体"/>
          <w:color w:val="000000"/>
          <w:kern w:val="0"/>
          <w:sz w:val="24"/>
          <w:szCs w:val="24"/>
          <w:highlight w:val="none"/>
          <w:lang w:val="en-US" w:eastAsia="zh-CN" w:bidi="ar"/>
        </w:rPr>
        <w:t>支付</w:t>
      </w:r>
      <w:r>
        <w:rPr>
          <w:rFonts w:hint="eastAsia" w:hAnsi="宋体" w:cs="宋体"/>
          <w:color w:val="000000"/>
          <w:kern w:val="0"/>
          <w:sz w:val="24"/>
          <w:szCs w:val="24"/>
          <w:highlight w:val="none"/>
          <w:lang w:val="en-US" w:eastAsia="zh-CN" w:bidi="ar"/>
        </w:rPr>
        <w:t>相应费用</w:t>
      </w:r>
      <w:r>
        <w:rPr>
          <w:rFonts w:hint="eastAsia" w:ascii="宋体" w:hAnsi="宋体" w:eastAsia="宋体" w:cs="宋体"/>
          <w:color w:val="000000"/>
          <w:kern w:val="0"/>
          <w:sz w:val="24"/>
          <w:szCs w:val="24"/>
          <w:highlight w:val="none"/>
          <w:lang w:val="en-US" w:eastAsia="zh-CN" w:bidi="ar"/>
        </w:rPr>
        <w:t xml:space="preserve">。 </w:t>
      </w:r>
    </w:p>
    <w:p w14:paraId="6F67872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食堂服务外包项目岗位配置人数必须满足供应方服务及管理要求。须配备项目经理一名，负责日常管理、沟通对接、安全提醒。另需配备厨师长一名，具有厨师证，负责技能培训、保证食品安全、提升伙食质量。其余人员约 19人（除项目经理及厨师长），其中包含执勤七中队、执勤八中队建成后各配备服务人员2名。 所有人员均须具备有效的健康证。  </w:t>
      </w:r>
    </w:p>
    <w:p w14:paraId="1F73799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2、支付方式：现金或转账 </w:t>
      </w:r>
    </w:p>
    <w:p w14:paraId="576BF5E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四、甲方的责任、权利和义务 </w:t>
      </w:r>
    </w:p>
    <w:p w14:paraId="6837A73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1、甲方每天就餐人数在5</w:t>
      </w:r>
      <w:r>
        <w:rPr>
          <w:rFonts w:hint="eastAsia" w:hAnsi="宋体" w:cs="宋体"/>
          <w:color w:val="000000"/>
          <w:kern w:val="0"/>
          <w:sz w:val="24"/>
          <w:szCs w:val="24"/>
          <w:highlight w:val="none"/>
          <w:lang w:val="en-US" w:eastAsia="zh-CN" w:bidi="ar"/>
        </w:rPr>
        <w:t>5</w:t>
      </w:r>
      <w:r>
        <w:rPr>
          <w:rFonts w:hint="eastAsia" w:ascii="宋体" w:hAnsi="宋体" w:eastAsia="宋体" w:cs="宋体"/>
          <w:color w:val="000000"/>
          <w:kern w:val="0"/>
          <w:sz w:val="24"/>
          <w:szCs w:val="24"/>
          <w:highlight w:val="none"/>
          <w:lang w:val="en-US" w:eastAsia="zh-CN" w:bidi="ar"/>
        </w:rPr>
        <w:t xml:space="preserve">0人左右，如有大量增减应及时通知乙方； </w:t>
      </w:r>
    </w:p>
    <w:p w14:paraId="3FAAC95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highlight w:val="none"/>
          <w:lang w:val="en-US" w:eastAsia="zh-CN" w:bidi="ar"/>
        </w:rPr>
        <w:t>2、甲方有临时用餐需求时，需提前通知乙方，由乙</w:t>
      </w:r>
      <w:r>
        <w:rPr>
          <w:rFonts w:hint="eastAsia" w:ascii="宋体" w:hAnsi="宋体" w:eastAsia="宋体" w:cs="宋体"/>
          <w:color w:val="000000"/>
          <w:kern w:val="0"/>
          <w:sz w:val="24"/>
          <w:szCs w:val="24"/>
          <w:lang w:val="en-US" w:eastAsia="zh-CN" w:bidi="ar"/>
        </w:rPr>
        <w:t xml:space="preserve">方负责承担甲方的临时用餐接待任务； </w:t>
      </w:r>
    </w:p>
    <w:p w14:paraId="47459FC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3、甲方负责对食堂的食品卫生、食品安全、环境卫生、食谱、饭菜数量及质量等方面进行经常性监督，并督促乙方各项指标必须达到国家标准。 </w:t>
      </w:r>
    </w:p>
    <w:p w14:paraId="0DD3C1E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4、甲方负责及时提供就餐人数变化情况； </w:t>
      </w:r>
    </w:p>
    <w:p w14:paraId="2E6AB4A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5、甲方负责监督乙方的经营管理活动合法合规，确保饮食安全； </w:t>
      </w:r>
    </w:p>
    <w:p w14:paraId="6114DD2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6、甲方负责食谱安排控制成本，指定专人负责原材料采购及库管工作； </w:t>
      </w:r>
    </w:p>
    <w:p w14:paraId="524C50F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7、负责食堂水、电、气的保障，负责餐具、用具及食堂配套设施完备、良好、齐全，并承担相关费用； </w:t>
      </w:r>
    </w:p>
    <w:p w14:paraId="49EAAFE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8、督促乙方及时发放薪酬，避免出现劳务纠纷； </w:t>
      </w:r>
    </w:p>
    <w:p w14:paraId="67D138C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9、甲方有权对乙方提供服务的满意度每月进行一次评比打分，监督乙方的服务质量。 </w:t>
      </w:r>
    </w:p>
    <w:p w14:paraId="558E1CA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五、乙方责任、权利和义务 </w:t>
      </w:r>
    </w:p>
    <w:p w14:paraId="7E4A3A4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1、乙方有义务在本合同期限内与其雇佣人员签订劳动合同，在同等条件下优先提供职位给现有炊事人员，并承担所有在乙方管理下工作人员的用工、社保、保险等劳动责任； </w:t>
      </w:r>
    </w:p>
    <w:p w14:paraId="2EAD4C1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2、乙方在甲方食堂工作的炊事人员不得少于 人；如当月出现会议等其他特殊情况，则乙方则应当按照甲方的要求增派人员。 </w:t>
      </w:r>
    </w:p>
    <w:p w14:paraId="38E4CD6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3、接受甲方行政管理人员的监督、检查，接受甲方合理化建议并积极配合整改。 </w:t>
      </w:r>
    </w:p>
    <w:p w14:paraId="5A74CF5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4、乙方有义务配合甲方控制成本，避免浪费，双方协商以时令蔬果为主安排菜谱及对外售卖；如乙方不服从甲方建议或其他管理要求，造成的亏损由乙方负责承担。 </w:t>
      </w:r>
    </w:p>
    <w:p w14:paraId="48DE6AE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5、乙方所属员工应每天穿戴整洁的工作服、工作帽等，持健康证上岗。乙方同时负责食堂内外防鼠、防蝇、消毒、清洁等用品、用具及全部工作，负责餐厨垃圾清运处理。 </w:t>
      </w:r>
    </w:p>
    <w:p w14:paraId="0F1296D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6、在本协议期限内，由乙方员工或乙方管理、使用的设施设备所引起的安全责任事故由乙方负责；对于操作不当引起设备、器具损坏由乙方负责赔偿（自然损坏除外）； </w:t>
      </w:r>
    </w:p>
    <w:p w14:paraId="5A36062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7、乙方员工必须遵守甲方规章制度，不得随意出入甲方禁止区域； </w:t>
      </w:r>
    </w:p>
    <w:p w14:paraId="4C57C5A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8、乙方对甲方提供的食材，如发现食品安全问题及时提出并拒绝使用； </w:t>
      </w:r>
    </w:p>
    <w:p w14:paraId="41A1952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9、积极提供菜品、菜谱的调整意见并定期推出新菜品等，并保证各式菜品的丰富，保证按照甲方的规定准时开饭等； </w:t>
      </w:r>
    </w:p>
    <w:p w14:paraId="2FC450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10、做好餐饮管理及服务工作，积极制定相应的管理制度、改进措施；在甲方临时提出用餐计划时，乙方有义务负责就餐场所的安全管理及现场秩序。 </w:t>
      </w:r>
    </w:p>
    <w:p w14:paraId="606998E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11、乙方负责人员、场所、器具、用具卫生及食品安全；同时负责加工机具齐全、完好，确保维修保养及时，如需更新换代应及时与甲方联系。 </w:t>
      </w:r>
    </w:p>
    <w:p w14:paraId="38F79D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12、乙方负责餐厅及厨房防火、防盗和安全生产工作；应严格负责食堂安全工作，在日常管理工作中，严查水、电、气的使用，并应制定严格的管理制度，督促人员检查相关控制阀门的安全，如发生相关责任事故，则由乙方负责全部民事及行政责任，甲方有权针对乙方的不安全行为进行罚款，并从乙方的服务费用中予以扣除。 </w:t>
      </w:r>
    </w:p>
    <w:p w14:paraId="32BB04E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13、做好餐饮管理服务工作，力求“多样化、人性化、精细化”； </w:t>
      </w:r>
    </w:p>
    <w:p w14:paraId="72242DC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14、乙方提供的饭菜应当符合国家规定的食品安全标准，每餐次的食品成品应当进行留样，留样量要求应当符合《餐饮服务食品安全操作规范》的规定，并符合国内国外关于兴奋剂规定的相关法律及司法解释，如因乙方所制作任何菜品造成相关人员因兴奋剂或其他违禁食品或药品影响的，需承担相关法律责任，并对相关人员及甲方进行相应赔偿； </w:t>
      </w:r>
    </w:p>
    <w:p w14:paraId="5F6D645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15、乙方负责餐厅、厨房垃圾清扫收集，负责厨房、餐厅卫生打扫、保洁，负责餐具、炊事用具的清洁保洁工作； </w:t>
      </w:r>
    </w:p>
    <w:p w14:paraId="7EA03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16、承担中心餐厅全部炊事人员、工作人员工资及劳保福利费用，负有餐厅员工的人事薪资权力； </w:t>
      </w:r>
    </w:p>
    <w:p w14:paraId="5DF20B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17、乙方如需使用甲方提供的设备及资源拓展业务需提前征得甲方同意。 </w:t>
      </w:r>
    </w:p>
    <w:p w14:paraId="492C0A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六、违约责任 </w:t>
      </w:r>
    </w:p>
    <w:p w14:paraId="21E7DAE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1、甲方无故未按协议约定支付乙方服务费用，乙方有权提醒、追索。若超过一个月未支付，自第二个月起甲方按照欠付总额的 0.5%/日，向乙方支付迟延付款违约金；甲方迟延付款经乙方催告后仍未支付超过三个月的，乙方有权停止相关服务。 </w:t>
      </w:r>
    </w:p>
    <w:p w14:paraId="4A634BF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2、乙方未按时支付工人的薪酬，则甲方有权提出警告。若迟延支付达 15 日的，甲方有权代乙方发放并从对乙方的应付款中直接扣除，同时乙方向甲方承担拖欠款总额 0.5%/日的违约金； </w:t>
      </w:r>
    </w:p>
    <w:p w14:paraId="48FB7D7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因乙方的人员管理违反劳动合同法等法律法规的规定，而导致与厨师、炊事人员或管理人员的劳动纠纷，应当由乙方予以处理，并承担相应的法律责任；因乙方管理不当导致甲方承担上述责任的，甲方有权就已承担的赔偿责任及因处理此等事项而支出的其他费用向乙方进行追偿，甲方有权从应付款中予以扣除上述费用。 </w:t>
      </w:r>
    </w:p>
    <w:p w14:paraId="718BB39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合同履行期内，如乙方提供的饭菜质量出现夹生（特殊情况例外如停电、停气、停水），每出现一次，扣除服务费的0.5%，变质、卫生不合格等情形，每出现一次，扣除服务费的2%，出现任何上述问题合计三次的，甲方有权解除本协议。 </w:t>
      </w:r>
    </w:p>
    <w:p w14:paraId="368AAC2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5、甲方每月对乙方的伙食保障等工作进行一次满意度评分（以甲方提供的评分结果为准），如连续三次不满意率达到20%或以上的，甲方有权解除本协议。 </w:t>
      </w:r>
    </w:p>
    <w:p w14:paraId="7D4CFA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6、无特殊情形，乙方未按规定时间准时开饭，每出现一次，甲方从服务费中扣除 0.5%，如在一个月内出现三次，甲方有权解除本协议。 </w:t>
      </w:r>
    </w:p>
    <w:p w14:paraId="654AC9E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因乙方原因导致食品安全事件发生的，应当由乙方承担一切责任，包括经济赔偿和其他法律责任；因上述原因导致甲方承担上述食品安全责任的，有权就甲方已承担的赔偿责任及因处理此等事项而支出的其他费用向乙方进行追偿。 </w:t>
      </w:r>
    </w:p>
    <w:p w14:paraId="13CB97A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七、通知与送达 </w:t>
      </w:r>
    </w:p>
    <w:p w14:paraId="5D0F4DB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本协议项下任何一方向对方发出的通知、信件、数据电文等，应当发送至本协议下列约定的地址、联系人和通信终端。一方当事人变更名称、地址、联系人和通信终端的，应当在变更后3日内及时书面通知对方当事人，对方当事人实际收到变更通知前的送达仍为有效送达，电子送达与书面送达具有同等法律效力。 </w:t>
      </w:r>
    </w:p>
    <w:p w14:paraId="52B6DF5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甲方联系人：   ；联系电话：   ；联系地址：   ；邮编：   ；传真：   ； </w:t>
      </w:r>
    </w:p>
    <w:p w14:paraId="2A081CA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乙方联系人：   ；联系电话：   ；联系地址：   ；邮编：   ；传真：   ； </w:t>
      </w:r>
    </w:p>
    <w:p w14:paraId="3EC882E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甲方在上述联系方式外，向乙方所作通知亦可通过与乙方行政总厨进行联系，视为送达。 </w:t>
      </w:r>
    </w:p>
    <w:p w14:paraId="20E9E3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2、本协议任何一方向对方或他方所发出的信件或资料，自邮政特快专递交邮后的第7日视为送达；发出的传真，自进入对方数据电文接收系统即视为送达。若送达日为非工作日，则视为在下一工作日送达。 </w:t>
      </w:r>
    </w:p>
    <w:p w14:paraId="3726812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color w:val="000000"/>
          <w:kern w:val="0"/>
          <w:sz w:val="24"/>
          <w:szCs w:val="24"/>
          <w:lang w:val="en-US" w:eastAsia="zh-CN" w:bidi="ar"/>
        </w:rPr>
        <w:t xml:space="preserve">八、其他 </w:t>
      </w:r>
    </w:p>
    <w:p w14:paraId="0B58364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如双方因不可抗力，或非双方所能控制或所能预见事件的发生，包括自然灾害、战争、政府行为、社会骚乱以及西安市公安局交通管理支队长安大队等上级部门整体规划改制而不能履行其业务，本协议的履行可以终止。 </w:t>
      </w:r>
    </w:p>
    <w:p w14:paraId="12562CD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2、本协议期内，由于某些客观原因，如需终止协议，任何一方需提前 30 天通知另一方，否则必须向另一方支付相当于合同总价10%的违约金。 </w:t>
      </w:r>
    </w:p>
    <w:p w14:paraId="05BDF01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3、本协议期满前2个月，甲乙双方商议是否续约事宜。 </w:t>
      </w:r>
    </w:p>
    <w:p w14:paraId="143F8B8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4、本协议自双方签字盖章之日起生效，协议期满且费用结清后，协议自行失效。 </w:t>
      </w:r>
    </w:p>
    <w:p w14:paraId="53DBBB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5、本协议一式六份，甲乙双方各执三份。 </w:t>
      </w:r>
    </w:p>
    <w:p w14:paraId="27C3E6B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6、未尽事宜等双方协商解决。 </w:t>
      </w:r>
    </w:p>
    <w:p w14:paraId="66C8754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7、关于本协议履行过程中产生争议的可协商解决；协商不成的，向协议履行地有管 </w:t>
      </w:r>
    </w:p>
    <w:p w14:paraId="40F46C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辖权的人民法院诉讼解决；本协议履行地点为：西安市长安区。 </w:t>
      </w:r>
    </w:p>
    <w:p w14:paraId="763C962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（以下无正文）</w:t>
      </w:r>
    </w:p>
    <w:p w14:paraId="3DEB16C7">
      <w:pPr>
        <w:adjustRightInd w:val="0"/>
        <w:snapToGrid w:val="0"/>
        <w:spacing w:line="360" w:lineRule="auto"/>
        <w:ind w:firstLine="482" w:firstLineChars="200"/>
        <w:rPr>
          <w:rFonts w:hint="eastAsia" w:ascii="宋体" w:hAnsi="宋体" w:eastAsia="宋体" w:cs="宋体"/>
          <w:b/>
          <w:bCs/>
          <w:sz w:val="24"/>
          <w:szCs w:val="24"/>
          <w:highlight w:val="none"/>
          <w:lang w:val="zh-CN" w:eastAsia="zh-CN"/>
        </w:rPr>
      </w:pPr>
    </w:p>
    <w:tbl>
      <w:tblPr>
        <w:tblStyle w:val="3"/>
        <w:tblW w:w="9286" w:type="dxa"/>
        <w:jc w:val="center"/>
        <w:tblLayout w:type="fixed"/>
        <w:tblCellMar>
          <w:top w:w="0" w:type="dxa"/>
          <w:left w:w="108" w:type="dxa"/>
          <w:bottom w:w="0" w:type="dxa"/>
          <w:right w:w="108" w:type="dxa"/>
        </w:tblCellMar>
      </w:tblPr>
      <w:tblGrid>
        <w:gridCol w:w="4643"/>
        <w:gridCol w:w="4643"/>
      </w:tblGrid>
      <w:tr w14:paraId="70A0215C">
        <w:tblPrEx>
          <w:tblCellMar>
            <w:top w:w="0" w:type="dxa"/>
            <w:left w:w="108" w:type="dxa"/>
            <w:bottom w:w="0" w:type="dxa"/>
            <w:right w:w="108" w:type="dxa"/>
          </w:tblCellMar>
        </w:tblPrEx>
        <w:trPr>
          <w:jc w:val="center"/>
        </w:trPr>
        <w:tc>
          <w:tcPr>
            <w:tcW w:w="4643" w:type="dxa"/>
            <w:vAlign w:val="top"/>
          </w:tcPr>
          <w:p w14:paraId="211F68A0">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甲方名称（盖章）:</w:t>
            </w:r>
          </w:p>
          <w:p w14:paraId="4DF90C40">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地址：</w:t>
            </w:r>
          </w:p>
          <w:p w14:paraId="3232FBD1">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代表人（签字）：</w:t>
            </w:r>
          </w:p>
          <w:p w14:paraId="6D05F0AD">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电话：</w:t>
            </w:r>
          </w:p>
          <w:p w14:paraId="24D1E9FA">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开户银行：</w:t>
            </w:r>
          </w:p>
          <w:p w14:paraId="677B47E2">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p>
        </w:tc>
        <w:tc>
          <w:tcPr>
            <w:tcW w:w="4643" w:type="dxa"/>
            <w:vAlign w:val="top"/>
          </w:tcPr>
          <w:p w14:paraId="6213022E">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乙方名称（盖章）:</w:t>
            </w:r>
          </w:p>
          <w:p w14:paraId="303D20BC">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地址：</w:t>
            </w:r>
          </w:p>
          <w:p w14:paraId="052A0FE0">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代表人（签字）：</w:t>
            </w:r>
          </w:p>
          <w:p w14:paraId="3A08ABA8">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电话：</w:t>
            </w:r>
          </w:p>
          <w:p w14:paraId="79BED6F2">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bidi="ar-SA"/>
              </w:rPr>
              <w:t>开户银行：</w:t>
            </w:r>
          </w:p>
          <w:p w14:paraId="44EE3B3E">
            <w:pPr>
              <w:adjustRightInd w:val="0"/>
              <w:snapToGrid w:val="0"/>
              <w:spacing w:line="360" w:lineRule="auto"/>
              <w:ind w:firstLine="480" w:firstLineChars="200"/>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en-US" w:eastAsia="zh-CN" w:bidi="ar-SA"/>
              </w:rPr>
              <w:t>账   号</w:t>
            </w:r>
            <w:r>
              <w:rPr>
                <w:rFonts w:hint="eastAsia" w:ascii="宋体" w:hAnsi="宋体" w:eastAsia="宋体" w:cs="宋体"/>
                <w:sz w:val="24"/>
                <w:szCs w:val="24"/>
                <w:highlight w:val="none"/>
                <w:lang w:val="zh-CN" w:eastAsia="zh-CN" w:bidi="ar-SA"/>
              </w:rPr>
              <w:t>：</w:t>
            </w:r>
          </w:p>
        </w:tc>
      </w:tr>
    </w:tbl>
    <w:p w14:paraId="6E09E292">
      <w:pPr>
        <w:pStyle w:val="5"/>
        <w:spacing w:line="360" w:lineRule="auto"/>
        <w:ind w:firstLine="960" w:firstLineChars="400"/>
        <w:rPr>
          <w:rFonts w:hint="eastAsia" w:ascii="宋体" w:hAnsi="宋体" w:eastAsia="宋体" w:cs="宋体"/>
          <w:sz w:val="24"/>
          <w:szCs w:val="24"/>
          <w:highlight w:val="none"/>
        </w:rPr>
      </w:pPr>
    </w:p>
    <w:p w14:paraId="3D64B23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61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2026-05-28T09:58:57Z</dcterms:created>
  <dc:creator>正翼</dc:creator>
  <cp:lastModifiedBy>WPS_1544074700</cp:lastModifiedBy>
  <dcterms:modified xsi:type="dcterms:W3CDTF">2026-05-28T09:59:47Z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5B7D4943560042D5B794267982D229A8_12</vt:lpwstr>
  </property>
</Properties>
</file>