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版本号：YYWY-2026-0420260618001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2026年南郑区汉山街道办白家湾村肉牛养殖基地改扩建项目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YYWY-2026-04</w:t>
      </w:r>
      <w:r>
        <w:br/>
      </w:r>
      <w:r>
        <w:br/>
      </w:r>
      <w:r>
        <w:br/>
      </w:r>
    </w:p>
    <w:p>
      <w:pPr>
        <w:pStyle w:val="null3"/>
        <w:jc w:val="center"/>
        <w:outlineLvl w:val="2"/>
      </w:pPr>
      <w:r>
        <w:rPr>
          <w:rFonts w:ascii="仿宋_GB2312" w:hAnsi="仿宋_GB2312" w:cs="仿宋_GB2312" w:eastAsia="仿宋_GB2312"/>
          <w:sz w:val="28"/>
          <w:b/>
        </w:rPr>
        <w:t>汉中市南郑区汉山街道办事处</w:t>
      </w:r>
    </w:p>
    <w:p>
      <w:pPr>
        <w:pStyle w:val="null3"/>
        <w:jc w:val="center"/>
        <w:outlineLvl w:val="2"/>
      </w:pPr>
      <w:r>
        <w:rPr>
          <w:rFonts w:ascii="仿宋_GB2312" w:hAnsi="仿宋_GB2312" w:cs="仿宋_GB2312" w:eastAsia="仿宋_GB2312"/>
          <w:sz w:val="28"/>
          <w:b/>
        </w:rPr>
        <w:t>汉中煜耀炜烨项目管理有限公司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汉中煜耀炜烨项目管理有限公司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汉中市南郑区汉山街道办事处</w:t>
      </w:r>
      <w:r>
        <w:rPr>
          <w:rFonts w:ascii="仿宋_GB2312" w:hAnsi="仿宋_GB2312" w:cs="仿宋_GB2312" w:eastAsia="仿宋_GB2312"/>
        </w:rPr>
        <w:t>委托，拟对</w:t>
      </w:r>
      <w:r>
        <w:rPr>
          <w:rFonts w:ascii="仿宋_GB2312" w:hAnsi="仿宋_GB2312" w:cs="仿宋_GB2312" w:eastAsia="仿宋_GB2312"/>
        </w:rPr>
        <w:t>2026年南郑区汉山街道办白家湾村肉牛养殖基地改扩建项目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YYWY-2026-04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2026年南郑区汉山街道办白家湾村肉牛养殖基地改扩建项目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建设地点位于汉山街道办白家湾村，建设内容有：扩建400㎡牛棚，新建150㎡发酵池，一座80m深机井、新建室外挡墙、围墙排水沟，蓄水池一座的改造扩建工程，购置一套粪污家湾村肉牛养处理设备、一套粉碎搅拌设备一套、一套降温消杀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采购包1（2026年南郑区汉山街道办白家湾村肉牛养殖基地改扩建项目）：属于专门面向中小企业采购。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殊资格要求：（1）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 （2）供应商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 （3）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4）供应商须提供建设行政主管部门颁发的建筑工程施工总承包三级及以上资质，并提供有效的安全生产许可证。（5）供应商拟派项目负责人须在本单位注册，具备具备建筑工程专业二级及以上注册建造师执业资格，并取得安全生产考核合格证书（建安B证），且无在建工程。 （6）本项目不接受联合体响应，不允许分包。供应商应提供《非联合体不分包投标声明》，视为独立响应，不分包。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汉中市南郑区汉山街道办事处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汉山街道办南一环十字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18291671194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汉中煜耀炜烨项目管理有限公司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陕西省汉中市汉台区前进西路智诚茗居商业东南角好想来超市2楼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18691693377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采购包1：861,828.53元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开户名称：汉中煜耀炜烨项目管理有限公司</w:t>
            </w:r>
          </w:p>
          <w:p>
            <w:pPr>
              <w:pStyle w:val="null3"/>
            </w:pPr>
            <w:r>
              <w:rPr>
                <w:rFonts w:ascii="仿宋_GB2312" w:hAnsi="仿宋_GB2312" w:cs="仿宋_GB2312" w:eastAsia="仿宋_GB2312"/>
              </w:rPr>
              <w:t>开户银行：长安银行股份有限公司汉中太白路支行</w:t>
            </w:r>
          </w:p>
          <w:p>
            <w:pPr>
              <w:pStyle w:val="null3"/>
            </w:pPr>
            <w:r>
              <w:rPr>
                <w:rFonts w:ascii="仿宋_GB2312" w:hAnsi="仿宋_GB2312" w:cs="仿宋_GB2312" w:eastAsia="仿宋_GB2312"/>
              </w:rPr>
              <w:t>银行账号：806060501421007499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代理服务费收费标准：参考国家发展计划委员会计价格【2002】1980 号关于印发《招标代理服务收费管理暂行办法》及《国家发展和改革委员会办公厅关于招标代理服务收费有关问题的通知》（发改办价格〔2003〕857 号）文件规定，以成交价为基数，按照工程类招标计算收取代理服务费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汉中市南郑区汉山街道办事处</w:t>
      </w:r>
      <w:r>
        <w:rPr>
          <w:rFonts w:ascii="仿宋_GB2312" w:hAnsi="仿宋_GB2312" w:cs="仿宋_GB2312" w:eastAsia="仿宋_GB2312"/>
        </w:rPr>
        <w:t>和</w:t>
      </w:r>
      <w:r>
        <w:rPr>
          <w:rFonts w:ascii="仿宋_GB2312" w:hAnsi="仿宋_GB2312" w:cs="仿宋_GB2312" w:eastAsia="仿宋_GB2312"/>
        </w:rPr>
        <w:t>汉中煜耀炜烨项目管理有限公司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汉中市南郑区汉山街道办事处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汉中煜耀炜烨项目管理有限公司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汉中市南郑区汉山街道办事处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汉中煜耀炜烨项目管理有限公司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详见施工合同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汉中煜耀炜烨项目管理有限公司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汉中煜耀炜烨项目管理有限公司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汉中煜耀炜烨项目管理有限公司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联系人：刘强</w:t>
      </w:r>
    </w:p>
    <w:p>
      <w:pPr>
        <w:pStyle w:val="null3"/>
      </w:pPr>
      <w:r>
        <w:rPr>
          <w:rFonts w:ascii="仿宋_GB2312" w:hAnsi="仿宋_GB2312" w:cs="仿宋_GB2312" w:eastAsia="仿宋_GB2312"/>
        </w:rPr>
        <w:t>联系电话：0916-8816306</w:t>
      </w:r>
    </w:p>
    <w:p>
      <w:pPr>
        <w:pStyle w:val="null3"/>
      </w:pPr>
      <w:r>
        <w:rPr>
          <w:rFonts w:ascii="仿宋_GB2312" w:hAnsi="仿宋_GB2312" w:cs="仿宋_GB2312" w:eastAsia="仿宋_GB2312"/>
        </w:rPr>
        <w:t>地址：汉台区前进西路智诚茗居商业2#-201室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861,828.53</w:t>
      </w:r>
    </w:p>
    <w:p>
      <w:pPr>
        <w:pStyle w:val="null3"/>
      </w:pPr>
      <w:r>
        <w:rPr>
          <w:rFonts w:ascii="仿宋_GB2312" w:hAnsi="仿宋_GB2312" w:cs="仿宋_GB2312" w:eastAsia="仿宋_GB2312"/>
        </w:rPr>
        <w:t>采购包最高限价（元）: 861,828.53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2026年南郑区汉山街道办白家湾村肉牛养殖基地改扩建项目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861,828.53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标的名称：2026年南郑区汉山街道办白家湾村肉牛养殖基地改扩建项目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一、工程概况：项目建设地点位于汉山街道办白家湾村，建设内容为扩建400㎡牛棚，新建150㎡发酵池，一座80m深机井、新建室外挡墙、围墙排水沟，蓄水池一座的改造扩建工程，购置一套粪污家湾村肉牛养处理设备、一套粉碎搅拌设备一套、一套降温消杀设备。</w:t>
            </w:r>
          </w:p>
          <w:p>
            <w:pPr>
              <w:pStyle w:val="null3"/>
            </w:pPr>
            <w:r>
              <w:rPr>
                <w:rFonts w:ascii="仿宋_GB2312" w:hAnsi="仿宋_GB2312" w:cs="仿宋_GB2312" w:eastAsia="仿宋_GB2312"/>
                <w:sz w:val="21"/>
                <w:color w:val="000000"/>
              </w:rPr>
              <w:t>二、招标范围：施工图设计范围内、工程量清单内的全部内容。</w:t>
            </w:r>
          </w:p>
          <w:p>
            <w:pPr>
              <w:pStyle w:val="null3"/>
            </w:pPr>
            <w:r>
              <w:rPr>
                <w:rFonts w:ascii="仿宋_GB2312" w:hAnsi="仿宋_GB2312" w:cs="仿宋_GB2312" w:eastAsia="仿宋_GB2312"/>
                <w:sz w:val="21"/>
                <w:color w:val="000000"/>
              </w:rPr>
              <w:t>三、工程量清单：详见附件；</w:t>
            </w:r>
          </w:p>
          <w:p>
            <w:pPr>
              <w:pStyle w:val="null3"/>
            </w:pPr>
            <w:r>
              <w:rPr>
                <w:rFonts w:ascii="仿宋_GB2312" w:hAnsi="仿宋_GB2312" w:cs="仿宋_GB2312" w:eastAsia="仿宋_GB2312"/>
                <w:sz w:val="21"/>
                <w:color w:val="000000"/>
              </w:rPr>
              <w:t>四、施工工期要求：60日历天；</w:t>
            </w:r>
          </w:p>
          <w:p>
            <w:pPr>
              <w:pStyle w:val="null3"/>
            </w:pPr>
            <w:r>
              <w:rPr>
                <w:rFonts w:ascii="仿宋_GB2312" w:hAnsi="仿宋_GB2312" w:cs="仿宋_GB2312" w:eastAsia="仿宋_GB2312"/>
                <w:sz w:val="21"/>
                <w:color w:val="000000"/>
              </w:rPr>
              <w:t>五、报价要求： 本项目报价采用固定综合单价承包，以中标价（中标综合单价）作为合同价的结算 依据进行结算，投标供应商自行考虑并承担风险。即现场施工费、现场安全措施费、保险费、服务费 、售后服务、外购、外协、配套件、原材料及生产制造、包装、保险、税费、管理、检验、运杂费、 装卸费、安装调试、培训、配合、检测验收、图纸资料及保修、施工中产生的一切协调性费用及其他 所有费用的总和。工程量清单中存在漏项或某子目工程量计算偏差，竣工结算时按清单计算规则据实 调整。投标综合单价一次包定。除国家工程计价政策允许调整外，其他因素发生变化不作调整。</w:t>
            </w:r>
          </w:p>
          <w:p>
            <w:pPr>
              <w:pStyle w:val="null3"/>
            </w:pPr>
            <w:r>
              <w:rPr>
                <w:rFonts w:ascii="仿宋_GB2312" w:hAnsi="仿宋_GB2312" w:cs="仿宋_GB2312" w:eastAsia="仿宋_GB2312"/>
                <w:sz w:val="21"/>
                <w:color w:val="000000"/>
              </w:rPr>
              <w:t>六、技术要求：工程质量、安全要求达到现行国家规范要求。</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经双方协商，工程完工，通过建设单位、设计单位、监理单位、施工单位的四方验收及有关地方行政管理部门审验并取得 相应验收合格凭证。</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承包人严格按照国家颁发的施工验收规范及工程设计图纸（工程量清单）要求进行施工。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满足采购需求及相关质量要求。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特殊资格要求</w:t>
            </w:r>
          </w:p>
        </w:tc>
        <w:tc>
          <w:tcPr>
            <w:tcW w:type="dxa" w:w="3322"/>
          </w:tcPr>
          <w:p>
            <w:pPr>
              <w:pStyle w:val="null3"/>
            </w:pPr>
            <w:r>
              <w:rPr>
                <w:rFonts w:ascii="仿宋_GB2312" w:hAnsi="仿宋_GB2312" w:cs="仿宋_GB2312" w:eastAsia="仿宋_GB2312"/>
              </w:rPr>
              <w:t>（1）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 （2）供应商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 （3）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4）供应商须提供建设行政主管部门颁发的建筑工程施工总承包三级及以上资质，并提供有效的安全生产许可证。（5）供应商拟派项目负责人须在本单位注册，具备具备建筑工程专业二级及以上注册建造师执业资格，并取得安全生产考核合格证书（建安B证），且无在建工程。 （6）本项目不接受联合体响应，不允许分包。供应商应提供《非联合体不分包投标声明》，视为独立响应，不分包。</w:t>
            </w:r>
          </w:p>
        </w:tc>
        <w:tc>
          <w:tcPr>
            <w:tcW w:type="dxa" w:w="1661"/>
          </w:tcPr>
          <w:p>
            <w:pPr>
              <w:pStyle w:val="null3"/>
            </w:pPr>
            <w:r>
              <w:rPr>
                <w:rFonts w:ascii="仿宋_GB2312" w:hAnsi="仿宋_GB2312" w:cs="仿宋_GB2312" w:eastAsia="仿宋_GB2312"/>
              </w:rPr>
              <w:t>供应商应提交的相关资格证明材料.docx 项目管理机构组成表 非联合体不分包投标声明.docx 法定代表人授权委托书.docx 主要人员简历表 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技术标及方案.docx 已标价工程量清单 中小企业声明函 非联合体不分包投标声明.docx 汉中市政府采购供应商资格承诺函.docx 响应文件封面 供应商应提交的相关资格证明材料.docx 项目管理机构组成表 残疾人福利性单位声明函 报价函 标的清单 供应商类似项目业绩一览表 响应函 法定代表人授权委托书.docx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响应文件封面、响应函、法定代表人授权委托书三处的项目名称、项目编号、标段（如有）</w:t>
            </w:r>
          </w:p>
        </w:tc>
        <w:tc>
          <w:tcPr>
            <w:tcW w:type="dxa" w:w="3322"/>
          </w:tcPr>
          <w:p>
            <w:pPr>
              <w:pStyle w:val="null3"/>
            </w:pPr>
            <w:r>
              <w:rPr>
                <w:rFonts w:ascii="仿宋_GB2312" w:hAnsi="仿宋_GB2312" w:cs="仿宋_GB2312" w:eastAsia="仿宋_GB2312"/>
              </w:rPr>
              <w:t>三处均无遗漏，且与所投项目名称、 项目编号、标段（如有）一致。</w:t>
            </w:r>
          </w:p>
        </w:tc>
        <w:tc>
          <w:tcPr>
            <w:tcW w:type="dxa" w:w="1661"/>
          </w:tcPr>
          <w:p>
            <w:pPr>
              <w:pStyle w:val="null3"/>
            </w:pPr>
            <w:r>
              <w:rPr>
                <w:rFonts w:ascii="仿宋_GB2312" w:hAnsi="仿宋_GB2312" w:cs="仿宋_GB2312" w:eastAsia="仿宋_GB2312"/>
              </w:rPr>
              <w:t>响应文件封面 响应函 法定代表人授权委托书.docx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技术标及方案.docx 已标价工程量清单 中小企业声明函 非联合体不分包投标声明.docx 汉中市政府采购供应商资格承诺函.docx 响应文件封面 供应商应提交的相关资格证明材料.docx 项目管理机构组成表 残疾人福利性单位声明函 报价函 标的清单 供应商类似项目业绩一览表 响应函 法定代表人授权委托书.docx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第一次磋商报价表</w:t>
            </w:r>
          </w:p>
        </w:tc>
        <w:tc>
          <w:tcPr>
            <w:tcW w:type="dxa" w:w="3322"/>
          </w:tcPr>
          <w:p>
            <w:pPr>
              <w:pStyle w:val="null3"/>
            </w:pPr>
            <w:r>
              <w:rPr>
                <w:rFonts w:ascii="仿宋_GB2312" w:hAnsi="仿宋_GB2312" w:cs="仿宋_GB2312" w:eastAsia="仿宋_GB2312"/>
              </w:rPr>
              <w:t>（1）第一次磋商报价表填写符合要求； （2）计量单位、报价货币均符合磋商文件要求； （3）第一次磋商报价未超出采购预算或磋商文件规定的最高限价。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响应文件按照磋商文件要求编制，内容齐全，无重大缺漏项。</w:t>
            </w:r>
          </w:p>
        </w:tc>
        <w:tc>
          <w:tcPr>
            <w:tcW w:type="dxa" w:w="1661"/>
          </w:tcPr>
          <w:p>
            <w:pPr>
              <w:pStyle w:val="null3"/>
            </w:pPr>
            <w:r>
              <w:rPr>
                <w:rFonts w:ascii="仿宋_GB2312" w:hAnsi="仿宋_GB2312" w:cs="仿宋_GB2312" w:eastAsia="仿宋_GB2312"/>
              </w:rPr>
              <w:t>技术标及方案.docx 已标价工程量清单 中小企业声明函 非联合体不分包投标声明.docx 汉中市政府采购供应商资格承诺函.docx 响应文件封面 供应商应提交的相关资格证明材料.docx 项目管理机构组成表 残疾人福利性单位声明函 报价函 标的清单 供应商类似项目业绩一览表 响应函 法定代表人授权委托书.docx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一、评审内容：响应人提供本项目施工方案，包括①施工方法（工艺) ②施工组织和施工程序③现场平面布置④技术组织措施。 二、赋分标准： 1 、完整性：方案内容完整全面，对上述各项内容均有描述，得2分；缺1项，得1 .5分；缺2项，得1分；缺3项，得0 .5分；不提供不得分。 2 、针对性：针对性强，得3分；每有一处缺陷的扣0 .5分。3 、可实施性：可实施性强，得3分；每有一处缺陷的扣0 .5分。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一、评审内容：响应人提供本项目施工进度计划，包括①施工进度目标和施工总进度计划表/图②分部分项 工期一览表③重要工程的验收、检验的次序和时间。 二、赋分标准： 1、完整性：方案内容完整全面，对上述各项内容均有描述，得1分；缺1项，得0.7分；缺2 项，得0.4分；不提供不得分。 2、针对性：针对性强，得1.5分；每有一处缺陷的扣0.5分。 3、可实施性：可实施性强，得1.5分；每有一处缺陷的扣0.5分。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一、评审内容：响应人提供本项目工期保证措施，包括①施工组织与管理保证措施②施工技术措施。 二、赋分标准： 1、完整性：方案内容完整全面，对上述各项内容均有描述，得1分；缺1项，得0.5分；不提供不得分。 2、针对性：针对性强，得1分；每有一处缺陷的扣0.5分。3、可实施性：可实施性强，得1分；每有一处缺陷的扣0.5分。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一、评审内容：响应人提供本项目质量保证措施，包括①工程质量目标②施工质量保证措施③施工质量管理与控制方案。 二、赋分标准：1、完整性：方案内容完整全面，对上述各项内容均有描述，得1分；缺1项，得0.7分；缺2 项，得0.4分；不提供不得分。 2、针对性：针对性强，得2分；每有一处缺陷的扣0.5分。 3、可实施性：可实施性强，得2分；每有一处缺陷的扣0.5分。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安全技术措施</w:t>
            </w:r>
          </w:p>
        </w:tc>
        <w:tc>
          <w:tcPr>
            <w:tcW w:type="dxa" w:w="2492"/>
          </w:tcPr>
          <w:p>
            <w:pPr>
              <w:pStyle w:val="null3"/>
            </w:pPr>
            <w:r>
              <w:rPr>
                <w:rFonts w:ascii="仿宋_GB2312" w:hAnsi="仿宋_GB2312" w:cs="仿宋_GB2312" w:eastAsia="仿宋_GB2312"/>
              </w:rPr>
              <w:t>一、评审内容：响应人提供本项目安全技术措施，包括①安全管理制度②安全责任归属划 分③安全标识：安全警戒标语、施工人员安全警示服和安全帽穿配要求④安全教育培训。 二、赋分标准： 1、完整性：方案内容完整全面，对上述各项内容均有描述，得 2 分；缺 1 项，得 1.5 分；缺 2 项，得 1 分；缺 3 项，得 0.5 分；不提供不得分。 2、针对性： 针对性强，得 2分；每有一处缺陷的扣0.5分。 3、可实施性：可实施性强，得 2 分；每 有一处缺陷的扣0.5分。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一、评审内容：响应人提供本项目文明施工措施，包括①成品保护措施和制度②施工现场 的临时管理措施③文明施工保障措施④文物保护措施。 二、赋分标准： 1、完整性：方案 内容完整全面，对上述各项内容均有描述，得 2 分；缺 1 项，得 1.5 分；缺 2 项，得 1 分；缺 3 项，得 0.5 分；不提供不得分。 2、针对性：针对性强，得 2分；每有一处缺 陷的扣0.5分。 3、可实施性：可实施性强，得 2 分；每有一处缺陷的扣0.5分。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一、评审内容：响应人提供本项目环境保护措施，包括①环境保护管理体系②环保控制措施：污染物及废弃物的处理措施、噪音控制措施、防尘及扬尘的控制措施。 二、赋分标准 ： 1、完整性：方案内容完整全面，对上述各项内容均有描述，得 1 分；缺 1 项，得 0.5 分；不提供不得分。 2、针对性：针对性强，得 1 分；每有一处缺陷的扣0.5分。 3 、可实施性：可实施性强，得 1 分；每有一处缺陷的扣0.5分。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一、评审内容：响应人提供本项目新材料新工艺，包括①新技术和新工艺的应用情况②新 产品和新材料的应用情况。 二、赋分标准： 1、完整性：方案内容完整全面，对上述各项 内容均有描述，得 1 分；缺 1 项，得 0.5 分；不提供不得分。 2、针对性：针对性强， 得 1分；每有一处缺陷的扣0.5分。 3、可实施性：可实施性强，得 1 分；每有一处缺陷 的扣0.5分。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一、评审内容：响应人提供本项目的资源配置计划，包括①拟投入的主要施工机械设备计 划②主要材料进场计划③劳动力投入计划。 二、赋分标准： 1、完整性：方案内容完整全 面，对上述各项内容均有描述，得 1 分；缺 1 项，得 0.7 分；缺 2 项，得 0.4 分；不提 供不得分。 2、针对性：针对性强，得2 分；每有一处缺陷的扣0.5分。 3、可实施性： 可实施性强，得 2分；每有一处缺陷的扣0.5分。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施工重点难点</w:t>
            </w:r>
          </w:p>
        </w:tc>
        <w:tc>
          <w:tcPr>
            <w:tcW w:type="dxa" w:w="2492"/>
          </w:tcPr>
          <w:p>
            <w:pPr>
              <w:pStyle w:val="null3"/>
            </w:pPr>
            <w:r>
              <w:rPr>
                <w:rFonts w:ascii="仿宋_GB2312" w:hAnsi="仿宋_GB2312" w:cs="仿宋_GB2312" w:eastAsia="仿宋_GB2312"/>
              </w:rPr>
              <w:t>一、评审内容：响应人提供本项目的施工重难点，包括①施工重难点分析②重难点解决方案。 二、赋分标准： 1、完整性：方案内容完整全面，对上述各项内容均有描述，得2分 ；缺 1项，得1分；不提供不得分。 2、针对性：针对性强，得 2 分；每有一处缺陷的扣 0.5分。3、可实施性：可实施性强，得 2 分；每有一处缺陷的扣0.5分。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一、评审内容：响应人提供本项目的保修方案，包括①工程保修期②维护次数和维修费用 ③维修人员配备和服务措施④响应时间。 二、赋分标准： 1、完整性：方案内容完整全面 ，对上述各项内容均有描述，得 2 分；缺 1 项，得 1.5 分；缺 2 项，得 1 分；缺 3 项 ，得 0.5分；不提供不得分。 2、针对性：针对性强，得 2 分；每有一处缺陷的扣0.5分 。 3、可实施性：可实施性强，得 2 分；每有一处缺陷的扣0.5分。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项目部人员组织机构</w:t>
            </w:r>
          </w:p>
        </w:tc>
        <w:tc>
          <w:tcPr>
            <w:tcW w:type="dxa" w:w="2492"/>
          </w:tcPr>
          <w:p>
            <w:pPr>
              <w:pStyle w:val="null3"/>
            </w:pPr>
            <w:r>
              <w:rPr>
                <w:rFonts w:ascii="仿宋_GB2312" w:hAnsi="仿宋_GB2312" w:cs="仿宋_GB2312" w:eastAsia="仿宋_GB2312"/>
              </w:rPr>
              <w:t>针对本项目提供实施具体人员配置清单(技术负责人、施工员、质量员、安全员、材料员、资料员)，包含:具体成员身份证、岗位证书(技术负责人提供中级及以上职称证书、安全员提供安全C证)、企业为其缴纳近6个月的社保证明扫描件。每人2分，提供不齐扣1分，不提供不得分。本项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提供2023年1月1日以来类似项目业绩，每提供一个得1分，最高3分，没有不得分。 注：业绩以成交（中标）通知书或施工合同（以合同签订日期为准）扫描件为准。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技术标及方案.docx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有效供应商最低报价为基准价得30分，其他各供应商的报价得分按下列公式计算： 报价 得分=（基准价/磋商报价）×30。根据“最后报价”计算价格得分。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详见附件：技术标及方案.docx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详见附件：（GF-2017-0201）建设工程施工合同（示范文本）.docx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