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0E3CF">
      <w:pPr>
        <w:pStyle w:val="2"/>
        <w:numPr>
          <w:ilvl w:val="0"/>
          <w:numId w:val="1"/>
        </w:numPr>
        <w:spacing w:before="50" w:after="50"/>
        <w:rPr>
          <w:rFonts w:hint="eastAsia"/>
        </w:rPr>
      </w:pPr>
      <w:bookmarkStart w:id="0" w:name="_Toc12240"/>
      <w:r>
        <w:rPr>
          <w:rFonts w:hint="eastAsia"/>
        </w:rPr>
        <w:t>采购内容及要求</w:t>
      </w:r>
      <w:bookmarkEnd w:id="0"/>
    </w:p>
    <w:p w14:paraId="672B05DF">
      <w:pPr>
        <w:pStyle w:val="3"/>
        <w:bidi w:val="0"/>
      </w:pPr>
      <w:bookmarkStart w:id="1" w:name="_Toc29322"/>
      <w:bookmarkStart w:id="2" w:name="OLE_LINK9"/>
      <w:bookmarkStart w:id="3" w:name="OLE_LINK10"/>
      <w:r>
        <w:rPr>
          <w:rFonts w:hint="eastAsia"/>
        </w:rPr>
        <w:t>一、项目建设目标</w:t>
      </w:r>
      <w:bookmarkEnd w:id="1"/>
    </w:p>
    <w:p w14:paraId="57FBF160">
      <w:pPr>
        <w:adjustRightInd w:val="0"/>
        <w:snapToGrid w:val="0"/>
        <w:spacing w:line="360" w:lineRule="auto"/>
        <w:ind w:firstLine="480" w:firstLineChars="200"/>
        <w:rPr>
          <w:rFonts w:ascii="宋体" w:hAnsi="宋体" w:cs="仿宋"/>
          <w:sz w:val="24"/>
        </w:rPr>
      </w:pPr>
      <w:r>
        <w:rPr>
          <w:rFonts w:hint="eastAsia" w:ascii="宋体" w:hAnsi="宋体" w:eastAsia="宋体" w:cs="宋体"/>
          <w:sz w:val="24"/>
          <w:szCs w:val="24"/>
        </w:rPr>
        <w:t>本次建设校史馆展厅214㎡，展陈内容涵盖邮电教育发展史、办学沿革、师资荣誉、重大成果、校友风采、实物文物、图文展板、多媒体场景等。根据面职，实现各部分空间布局合理、展陈流线清晰自然、基础装修达标、专业展陈照明、灯光屏幕音响智能集中控制，展陈文本校史资料梳理与展陈大纲编撰，整体风格庄重简洁、兼具邮电行业特色与现代展陈美学，满足参观、教学、校史留存、对外接待使用需求</w:t>
      </w:r>
      <w:r>
        <w:rPr>
          <w:rFonts w:hint="eastAsia" w:ascii="宋体" w:hAnsi="宋体" w:cs="仿宋"/>
          <w:sz w:val="24"/>
        </w:rPr>
        <w:t>。</w:t>
      </w:r>
    </w:p>
    <w:p w14:paraId="15B833DE">
      <w:pPr>
        <w:pStyle w:val="3"/>
        <w:bidi w:val="0"/>
        <w:rPr>
          <w:rFonts w:hint="eastAsia"/>
        </w:rPr>
      </w:pPr>
      <w:bookmarkStart w:id="4" w:name="_Toc1176"/>
      <w:r>
        <w:rPr>
          <w:rFonts w:hint="eastAsia"/>
        </w:rPr>
        <w:t>二、建设内容</w:t>
      </w:r>
      <w:bookmarkEnd w:id="4"/>
    </w:p>
    <w:p w14:paraId="44FA6D80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 w:eastAsia="宋体" w:cs="宋体"/>
          <w:sz w:val="24"/>
          <w:szCs w:val="24"/>
        </w:rPr>
        <w:t>校史馆总面积：214平方米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详细尺寸图纸见附件1）。</w:t>
      </w:r>
      <w:r>
        <w:rPr>
          <w:rFonts w:hint="eastAsia" w:ascii="宋体" w:hAnsi="宋体" w:eastAsia="宋体" w:cs="宋体"/>
          <w:sz w:val="24"/>
          <w:szCs w:val="24"/>
        </w:rPr>
        <w:t>本次项目建设内容包含：设计服务、展陈布展基础工程、电气照明与智能中控系统采购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安装</w:t>
      </w:r>
      <w:r>
        <w:rPr>
          <w:rFonts w:hint="eastAsia" w:ascii="宋体" w:hAnsi="宋体"/>
          <w:sz w:val="24"/>
        </w:rPr>
        <w:t>。</w:t>
      </w:r>
    </w:p>
    <w:p w14:paraId="329B758B">
      <w:pPr>
        <w:pStyle w:val="3"/>
        <w:bidi w:val="0"/>
      </w:pPr>
      <w:bookmarkStart w:id="5" w:name="_Toc7533"/>
      <w:r>
        <w:rPr>
          <w:rFonts w:hint="eastAsia"/>
        </w:rPr>
        <w:t>三、</w:t>
      </w:r>
      <w:r>
        <w:t>设计服务</w:t>
      </w:r>
      <w:bookmarkEnd w:id="5"/>
    </w:p>
    <w:p w14:paraId="71BDA07F">
      <w:pPr>
        <w:adjustRightInd w:val="0"/>
        <w:snapToGrid w:val="0"/>
        <w:spacing w:line="360" w:lineRule="auto"/>
        <w:ind w:left="48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（一）</w:t>
      </w:r>
      <w:r>
        <w:rPr>
          <w:rFonts w:ascii="宋体" w:hAnsi="宋体"/>
          <w:sz w:val="24"/>
        </w:rPr>
        <w:t>供应商须提供全流程校史馆专项展陈设计全套</w:t>
      </w:r>
      <w:r>
        <w:rPr>
          <w:rFonts w:hint="eastAsia" w:ascii="宋体" w:hAnsi="宋体"/>
          <w:sz w:val="24"/>
        </w:rPr>
        <w:t>方案，包含以下内容</w:t>
      </w:r>
      <w:r>
        <w:rPr>
          <w:rFonts w:ascii="宋体" w:hAnsi="宋体"/>
          <w:sz w:val="24"/>
        </w:rPr>
        <w:t>：</w:t>
      </w:r>
    </w:p>
    <w:p w14:paraId="379520B2">
      <w:pPr>
        <w:spacing w:line="360" w:lineRule="auto"/>
        <w:ind w:firstLine="480" w:firstLineChars="200"/>
        <w:rPr>
          <w:rFonts w:hint="eastAsia" w:ascii="宋体" w:hAnsi="宋体"/>
          <w:b w:val="0"/>
          <w:bCs w:val="0"/>
          <w:sz w:val="24"/>
        </w:rPr>
      </w:pPr>
      <w:r>
        <w:rPr>
          <w:rFonts w:hint="eastAsia" w:ascii="宋体" w:hAnsi="宋体"/>
          <w:b w:val="0"/>
          <w:bCs w:val="0"/>
          <w:sz w:val="24"/>
        </w:rPr>
        <w:t>1.</w:t>
      </w:r>
      <w:r>
        <w:rPr>
          <w:rFonts w:ascii="宋体" w:hAnsi="宋体"/>
          <w:b w:val="0"/>
          <w:bCs w:val="0"/>
          <w:sz w:val="24"/>
        </w:rPr>
        <w:t>概念方案整体设计</w:t>
      </w:r>
    </w:p>
    <w:p w14:paraId="3AAB07EA">
      <w:pPr>
        <w:spacing w:line="360" w:lineRule="auto"/>
        <w:ind w:firstLine="480" w:firstLineChars="200"/>
        <w:rPr>
          <w:rFonts w:hint="eastAsia" w:ascii="宋体" w:hAnsi="宋体"/>
          <w:b w:val="0"/>
          <w:bCs w:val="0"/>
          <w:sz w:val="24"/>
        </w:rPr>
      </w:pPr>
      <w:r>
        <w:rPr>
          <w:rFonts w:ascii="宋体" w:hAnsi="宋体"/>
          <w:b w:val="0"/>
          <w:bCs w:val="0"/>
          <w:sz w:val="24"/>
        </w:rPr>
        <w:t>完成项目设计理念定位、整体空间平面布局、人流动线规划、展区功能分区、整体视觉风格方案，输出概念效果图、设计说明文本。</w:t>
      </w:r>
    </w:p>
    <w:p w14:paraId="65C8E4FB">
      <w:pPr>
        <w:spacing w:line="360" w:lineRule="auto"/>
        <w:ind w:firstLine="480" w:firstLineChars="200"/>
        <w:rPr>
          <w:rFonts w:hint="eastAsia" w:ascii="宋体" w:hAnsi="宋体"/>
          <w:b w:val="0"/>
          <w:bCs w:val="0"/>
          <w:sz w:val="24"/>
        </w:rPr>
      </w:pPr>
      <w:r>
        <w:rPr>
          <w:rFonts w:hint="eastAsia" w:ascii="宋体" w:hAnsi="宋体"/>
          <w:b w:val="0"/>
          <w:bCs w:val="0"/>
          <w:sz w:val="24"/>
        </w:rPr>
        <w:t>2.</w:t>
      </w:r>
      <w:r>
        <w:rPr>
          <w:rFonts w:ascii="宋体" w:hAnsi="宋体"/>
          <w:b w:val="0"/>
          <w:bCs w:val="0"/>
          <w:sz w:val="24"/>
        </w:rPr>
        <w:t>深化落地全套图纸设计</w:t>
      </w:r>
    </w:p>
    <w:p w14:paraId="6FE062B2">
      <w:pPr>
        <w:spacing w:line="360" w:lineRule="auto"/>
        <w:ind w:firstLine="480" w:firstLineChars="200"/>
        <w:rPr>
          <w:rFonts w:hint="eastAsia" w:ascii="宋体" w:hAnsi="宋体"/>
          <w:b w:val="0"/>
          <w:bCs w:val="0"/>
          <w:sz w:val="24"/>
        </w:rPr>
      </w:pPr>
      <w:r>
        <w:rPr>
          <w:rFonts w:ascii="宋体" w:hAnsi="宋体"/>
          <w:b w:val="0"/>
          <w:bCs w:val="0"/>
          <w:sz w:val="24"/>
        </w:rPr>
        <w:t>基于确认方案完成全套高清效果图、施工蓝图、展陈细部节点详图、水电点位图、照明布灯图、中控布线图，图纸须符合建筑装饰、博物馆展陈施工规范，可直接用于现场施工。</w:t>
      </w:r>
    </w:p>
    <w:p w14:paraId="64BA7165">
      <w:pPr>
        <w:spacing w:line="360" w:lineRule="auto"/>
        <w:ind w:left="720"/>
        <w:rPr>
          <w:rFonts w:hint="eastAsia" w:ascii="宋体" w:hAnsi="宋体"/>
          <w:b w:val="0"/>
          <w:bCs w:val="0"/>
          <w:sz w:val="24"/>
        </w:rPr>
      </w:pPr>
      <w:r>
        <w:rPr>
          <w:rFonts w:hint="eastAsia" w:ascii="宋体" w:hAnsi="宋体"/>
          <w:b w:val="0"/>
          <w:bCs w:val="0"/>
          <w:sz w:val="24"/>
        </w:rPr>
        <w:t>3.</w:t>
      </w:r>
      <w:r>
        <w:rPr>
          <w:rFonts w:ascii="宋体" w:hAnsi="宋体"/>
          <w:b w:val="0"/>
          <w:bCs w:val="0"/>
          <w:sz w:val="24"/>
        </w:rPr>
        <w:t>校史内容策划与文本编撰</w:t>
      </w:r>
    </w:p>
    <w:p w14:paraId="2CFA8C6D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配合校方梳理馆藏校史图文、实物、档案资料；完成陈展大纲撰写、分区文字脚本、展板版式设计；根据校方提供史料完成图文排版、图文校对，配合校方完成内容审核修改直至定稿。</w:t>
      </w:r>
    </w:p>
    <w:p w14:paraId="37F25D4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（二）</w:t>
      </w:r>
      <w:r>
        <w:rPr>
          <w:rFonts w:ascii="宋体" w:hAnsi="宋体"/>
          <w:sz w:val="24"/>
        </w:rPr>
        <w:t>设计要求</w:t>
      </w:r>
    </w:p>
    <w:p w14:paraId="322AC558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</w:t>
      </w:r>
      <w:r>
        <w:rPr>
          <w:rFonts w:ascii="宋体" w:hAnsi="宋体"/>
          <w:sz w:val="24"/>
        </w:rPr>
        <w:t>设计风格贴合邮电通信行业特色，兼顾职业院校育人文化，庄重大气，避免花哨浮夸；</w:t>
      </w:r>
    </w:p>
    <w:p w14:paraId="05455DF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ascii="宋体" w:hAnsi="宋体"/>
          <w:sz w:val="24"/>
        </w:rPr>
        <w:t>所有图纸、方案文本、效果图交付电子版+纸质装订版各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>套；</w:t>
      </w:r>
    </w:p>
    <w:p w14:paraId="12AFA4C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ascii="宋体" w:hAnsi="宋体"/>
          <w:sz w:val="24"/>
        </w:rPr>
        <w:t>设计过程提供不少于3次方案汇报，根据校方修改意见免费调整、深化，无额外增项费用。</w:t>
      </w:r>
    </w:p>
    <w:p w14:paraId="56C2448D">
      <w:pPr>
        <w:pStyle w:val="3"/>
        <w:bidi w:val="0"/>
      </w:pPr>
      <w:bookmarkStart w:id="6" w:name="_Toc3302"/>
      <w:r>
        <w:rPr>
          <w:rFonts w:hint="eastAsia"/>
        </w:rPr>
        <w:t>四、</w:t>
      </w:r>
      <w:r>
        <w:t>基础装修工程</w:t>
      </w:r>
      <w:bookmarkEnd w:id="6"/>
    </w:p>
    <w:p w14:paraId="39621A18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（一）根据定稿的设计图纸完成以下基础装修工程，包含：</w:t>
      </w:r>
    </w:p>
    <w:p w14:paraId="3C920365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1.拆除工程：基础拆除恢复；</w:t>
      </w:r>
    </w:p>
    <w:p w14:paraId="1F2DADC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2.地面工程：自流平地板铺设工程；</w:t>
      </w:r>
    </w:p>
    <w:p w14:paraId="135CD42C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3.墙面工程：基础基层处理、吸音装饰板、墙面涂料；</w:t>
      </w:r>
    </w:p>
    <w:p w14:paraId="6A085B0B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4.天花工程：石膏板造型、格栅、局部软膜；</w:t>
      </w:r>
    </w:p>
    <w:p w14:paraId="659CABD1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5.强弱电改造工程：旧线等拆除恢复、隐藏式综合布线及配电箱；</w:t>
      </w:r>
    </w:p>
    <w:p w14:paraId="6AE6053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6.门窗工程：强化玻璃门、智能控制系统。</w:t>
      </w:r>
    </w:p>
    <w:p w14:paraId="2C99307F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bookmarkStart w:id="7" w:name="OLE_LINK41"/>
      <w:r>
        <w:rPr>
          <w:rFonts w:hint="eastAsia" w:ascii="宋体" w:hAnsi="宋体"/>
          <w:sz w:val="24"/>
        </w:rPr>
        <w:t>（二）装修通用标准</w:t>
      </w:r>
    </w:p>
    <w:p w14:paraId="16660D1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1.严格按照标准和工艺流程施工，严把质量关，确保施工质量达到合格，符合验收标准。</w:t>
      </w:r>
    </w:p>
    <w:p w14:paraId="09DB622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2.依据设计文件的要求，</w:t>
      </w:r>
      <w:bookmarkEnd w:id="7"/>
      <w:r>
        <w:rPr>
          <w:rFonts w:hint="eastAsia" w:ascii="宋体" w:hAnsi="宋体" w:cs="宋体"/>
          <w:sz w:val="24"/>
        </w:rPr>
        <w:t>本招标工程项目的材料、施工须达到所涉及到的现行中华人民共和国以及省、自治区、直辖市或行业的工程建设现行标准、规范的要求。</w:t>
      </w:r>
    </w:p>
    <w:p w14:paraId="468A95E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3.根据工程设计要求，该项工程项目的材料、施工除须达到以上标准外，还应满足设计要求和采购人在招标文件中的有关要求。</w:t>
      </w:r>
    </w:p>
    <w:p w14:paraId="6573906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4.该项目的材料、施工如无上述2、3条的标准，在材料的定货采购和施工安装时，应出具生产厂家或施工安装企业在技术监督部门已备案企业标准，并经监理和业主批准后方可实施。</w:t>
      </w:r>
    </w:p>
    <w:p w14:paraId="3B7FCB79">
      <w:pPr>
        <w:pStyle w:val="3"/>
        <w:bidi w:val="0"/>
        <w:rPr>
          <w:rFonts w:hint="eastAsia"/>
        </w:rPr>
      </w:pPr>
      <w:bookmarkStart w:id="8" w:name="OLE_LINK51"/>
      <w:bookmarkStart w:id="9" w:name="_Toc23487"/>
      <w:r>
        <w:rPr>
          <w:rFonts w:hint="eastAsia"/>
        </w:rPr>
        <w:t>五、电器照明</w:t>
      </w:r>
      <w:bookmarkEnd w:id="8"/>
      <w:bookmarkEnd w:id="9"/>
    </w:p>
    <w:p w14:paraId="346F9A39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bookmarkStart w:id="10" w:name="OLE_LINK12"/>
      <w:r>
        <w:rPr>
          <w:rFonts w:hint="eastAsia" w:ascii="宋体" w:hAnsi="宋体" w:cs="宋体"/>
          <w:b/>
          <w:bCs/>
          <w:sz w:val="24"/>
        </w:rPr>
        <w:t>（一）电器照明</w:t>
      </w:r>
      <w:bookmarkEnd w:id="10"/>
      <w:r>
        <w:rPr>
          <w:rFonts w:hint="eastAsia" w:ascii="宋体" w:hAnsi="宋体" w:cs="宋体"/>
          <w:b/>
          <w:bCs/>
          <w:sz w:val="24"/>
        </w:rPr>
        <w:t>要求</w:t>
      </w:r>
    </w:p>
    <w:p w14:paraId="094FE29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电器照明</w:t>
      </w:r>
      <w:r>
        <w:rPr>
          <w:rFonts w:ascii="宋体" w:hAnsi="宋体" w:cs="宋体"/>
          <w:sz w:val="24"/>
        </w:rPr>
        <w:t>整体设计遵循《GB/T23863-2009博物馆照明设计规范》《GB50034-2013建筑照明设计标准》，采用分区专业文博照明+全场景智能中控架构，兼顾文物展品保护性、历史氛围质感、日常运维便捷性，适配学校接待参观、校史教育、成果展示、仪式活动等多元场景。</w:t>
      </w:r>
    </w:p>
    <w:bookmarkEnd w:id="2"/>
    <w:bookmarkEnd w:id="3"/>
    <w:p w14:paraId="6A9178B9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（二）展厅照明系统整体设计原则</w:t>
      </w:r>
    </w:p>
    <w:p w14:paraId="63D2B14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保护性优先：低蓝光、无紫外辐射、低热量输出，适配老照片、纸质档案、邮电老设备、荣誉奖牌等易损展品；</w:t>
      </w:r>
    </w:p>
    <w:p w14:paraId="6E72B62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氛围适配：历史展区偏温润质感、成果展区明亮通透、实物展区重点聚焦，层次分明；</w:t>
      </w:r>
    </w:p>
    <w:p w14:paraId="20C9CE0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标准合规：严格控制照度、显色性、眩光值、照明功率密度，符合文博展厅国标；</w:t>
      </w:r>
    </w:p>
    <w:p w14:paraId="3AEAED6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智能可控：分区回路独立调光、场景一键切换、定时自动管控，适配校园常态化管理；</w:t>
      </w:r>
    </w:p>
    <w:p w14:paraId="1E24C00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稳定耐用：工业级LED光源、隐蔽布线、低功耗节能，适配长期无人值守使用场景。</w:t>
      </w:r>
    </w:p>
    <w:p w14:paraId="563C5427">
      <w:pPr>
        <w:numPr>
          <w:ilvl w:val="0"/>
          <w:numId w:val="2"/>
        </w:num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照明系统分区功能及详细技术参数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1196"/>
        <w:gridCol w:w="6731"/>
      </w:tblGrid>
      <w:tr w14:paraId="59C8A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696E69C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702" w:type="pct"/>
            <w:noWrap w:val="0"/>
            <w:vAlign w:val="center"/>
          </w:tcPr>
          <w:p w14:paraId="7D54E88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分区名称</w:t>
            </w:r>
          </w:p>
        </w:tc>
        <w:tc>
          <w:tcPr>
            <w:tcW w:w="3950" w:type="pct"/>
            <w:noWrap w:val="0"/>
            <w:vAlign w:val="center"/>
          </w:tcPr>
          <w:p w14:paraId="5B6C7EC8">
            <w:pPr>
              <w:numPr>
                <w:ilvl w:val="0"/>
                <w:numId w:val="0"/>
              </w:numPr>
              <w:spacing w:line="360" w:lineRule="auto"/>
              <w:ind w:leftChars="0"/>
              <w:jc w:val="both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功能及详细技术参数</w:t>
            </w:r>
          </w:p>
        </w:tc>
      </w:tr>
      <w:tr w14:paraId="14EC8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5A69C15E"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02" w:type="pct"/>
            <w:noWrap w:val="0"/>
            <w:vAlign w:val="center"/>
          </w:tcPr>
          <w:p w14:paraId="350A2F7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基础环境泛光照明（全域基础打底）</w:t>
            </w:r>
          </w:p>
          <w:p w14:paraId="6D618E2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950" w:type="pct"/>
            <w:noWrap w:val="0"/>
            <w:vAlign w:val="top"/>
          </w:tcPr>
          <w:p w14:paraId="3DAF8FB9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（一）功能作用</w:t>
            </w:r>
          </w:p>
          <w:p w14:paraId="0AD72943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为214㎡展厅提供均匀基础亮度，消除空间暗区，保障通行安全，弱化强光对比，适配日常巡检、清洁维护、普通参观场景。</w:t>
            </w:r>
          </w:p>
          <w:p w14:paraId="7AEDC187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（二）核心技术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要求</w:t>
            </w:r>
          </w:p>
          <w:p w14:paraId="45355715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光源类型：高亮防频闪LED光源，无紫外、无红外辐射，蓝光等级RG0；</w:t>
            </w:r>
          </w:p>
          <w:p w14:paraId="4CC1A8A5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色温：4000K中性自然光（适配校史庄重、素雅、正式的展示调性）；</w:t>
            </w:r>
          </w:p>
          <w:p w14:paraId="77478359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显色指数：Ra≥95，真实还原图文色彩、金属奖牌、老旧设备原色；</w:t>
            </w:r>
          </w:p>
          <w:p w14:paraId="1DC039ED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平均照度：150lx±10lx（展厅基础国标标准）；</w:t>
            </w:r>
          </w:p>
          <w:p w14:paraId="7924B576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眩光值：UGR≤18，无刺眼反光、无视觉疲劳；</w:t>
            </w:r>
          </w:p>
          <w:p w14:paraId="31BE94C5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照明功率密度：LPD≤9W/㎡，符合节能规范；</w:t>
            </w:r>
          </w:p>
          <w:p w14:paraId="3F497A99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防护等级：IP40，室内防尘防磕碰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。</w:t>
            </w:r>
          </w:p>
        </w:tc>
      </w:tr>
      <w:tr w14:paraId="5584A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16D7DBD3"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02" w:type="pct"/>
            <w:noWrap w:val="0"/>
            <w:vAlign w:val="center"/>
          </w:tcPr>
          <w:p w14:paraId="4088605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墙面展板专项照明（办学历史、图文沿革、荣誉墙）</w:t>
            </w:r>
          </w:p>
        </w:tc>
        <w:tc>
          <w:tcPr>
            <w:tcW w:w="3950" w:type="pct"/>
            <w:noWrap w:val="0"/>
            <w:vAlign w:val="top"/>
          </w:tcPr>
          <w:p w14:paraId="1584561E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（一）功能作用</w:t>
            </w:r>
          </w:p>
          <w:p w14:paraId="13CCD622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精准打亮整面图文展板、时间轴、文字介绍、荣誉公示，保证文字清晰可读、画面层次立体，避免反光阴影，突出邮电办学历史脉络。</w:t>
            </w:r>
          </w:p>
          <w:p w14:paraId="7CC00E78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（二）核心技术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要求</w:t>
            </w:r>
          </w:p>
          <w:p w14:paraId="372E07FB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灯具类型：嵌入式可调角度轨道射灯、洗墙射灯（防眩光柔光罩）；</w:t>
            </w:r>
          </w:p>
          <w:p w14:paraId="401B11B1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色温：4000K高保真自然光；</w:t>
            </w:r>
          </w:p>
          <w:p w14:paraId="0B64C6A0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防反光设计：平行墙面漫射布光，消除玻璃展板镜面反光。</w:t>
            </w:r>
          </w:p>
        </w:tc>
      </w:tr>
      <w:tr w14:paraId="02B59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7DC43F1C"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02" w:type="pct"/>
            <w:noWrap w:val="0"/>
            <w:vAlign w:val="center"/>
          </w:tcPr>
          <w:p w14:paraId="7B63A88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展柜实物重点照明（邮电老设备、档案文物、奖杯实物）</w:t>
            </w:r>
          </w:p>
        </w:tc>
        <w:tc>
          <w:tcPr>
            <w:tcW w:w="3950" w:type="pct"/>
            <w:noWrap w:val="0"/>
            <w:vAlign w:val="top"/>
          </w:tcPr>
          <w:p w14:paraId="1C4B03A8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（一）功能作用</w:t>
            </w:r>
          </w:p>
          <w:p w14:paraId="22FBA5CC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针对玻璃独立展柜内老旧邮电设备、纸质档案、老照片、奖牌奖杯、校友实物做保护性聚焦照明，强光聚焦展品、暗化背景，突出展品质感，同时杜绝光源热损伤、紫外线老化展品。</w:t>
            </w:r>
          </w:p>
          <w:p w14:paraId="4B6AA91B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（二）核心技术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要求</w:t>
            </w:r>
          </w:p>
          <w:p w14:paraId="0623FDBA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灯具类型：展柜专用低压LED侧发光灯带、微型聚焦射灯；</w:t>
            </w:r>
          </w:p>
          <w:p w14:paraId="5BB8AEC9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核心保护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sz w:val="24"/>
              </w:rPr>
              <w:t>：零紫外线、零红外线、低温输出，展品恒温保护；</w:t>
            </w:r>
          </w:p>
          <w:p w14:paraId="1F52BDEE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色温：3500K温润暖白光，还原老物件复古质感；</w:t>
            </w:r>
          </w:p>
          <w:p w14:paraId="20DA799D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显色指数：Ra≥95；</w:t>
            </w:r>
          </w:p>
          <w:p w14:paraId="3EE5F7C7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展品照度：200lx–250lx（文物保护性照度标准）；</w:t>
            </w:r>
          </w:p>
          <w:p w14:paraId="52A47A52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防光斑处理：漫射匀光设计，展品表面无明暗斑驳；</w:t>
            </w:r>
          </w:p>
          <w:p w14:paraId="51C28C7A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独立控制：单柜单回路，可单独开启、关闭、调光，闲置时段关闭保护展品。</w:t>
            </w:r>
          </w:p>
        </w:tc>
      </w:tr>
      <w:tr w14:paraId="0E797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792236AA"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02" w:type="pct"/>
            <w:noWrap w:val="0"/>
            <w:vAlign w:val="center"/>
          </w:tcPr>
          <w:p w14:paraId="3DA3B3F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天花氛围辅助照明（空间层次烘托）</w:t>
            </w:r>
          </w:p>
        </w:tc>
        <w:tc>
          <w:tcPr>
            <w:tcW w:w="3950" w:type="pct"/>
            <w:noWrap w:val="0"/>
            <w:vAlign w:val="top"/>
          </w:tcPr>
          <w:p w14:paraId="5308BABF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（一）功能作用</w:t>
            </w:r>
          </w:p>
          <w:p w14:paraId="053232E2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辅助提升展厅整体高级感，弱化天花生硬边界，营造庄重、素雅的校史展示氛围，不抢主体展品视觉焦点。</w:t>
            </w:r>
          </w:p>
          <w:p w14:paraId="554349D1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（二）核心技术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要求</w:t>
            </w:r>
          </w:p>
          <w:p w14:paraId="72E95E93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灯具类型：嵌入式线性灯带、微孔漫射灯；</w:t>
            </w:r>
          </w:p>
          <w:p w14:paraId="592CCF96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色温：4000K统一色温，全域光色统一；</w:t>
            </w:r>
          </w:p>
          <w:p w14:paraId="0EF59DD5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支持无极调光，可实现淡亮氛围、全亮展示双模式；</w:t>
            </w:r>
          </w:p>
          <w:p w14:paraId="6B862CE9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无频闪、低功耗，长期开启无发热隐患。</w:t>
            </w:r>
          </w:p>
        </w:tc>
      </w:tr>
      <w:tr w14:paraId="48314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" w:type="pct"/>
            <w:noWrap w:val="0"/>
            <w:vAlign w:val="center"/>
          </w:tcPr>
          <w:p w14:paraId="2F176726"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02" w:type="pct"/>
            <w:noWrap w:val="0"/>
            <w:vAlign w:val="center"/>
          </w:tcPr>
          <w:p w14:paraId="2BF5110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照明系统整体配套</w:t>
            </w:r>
          </w:p>
        </w:tc>
        <w:tc>
          <w:tcPr>
            <w:tcW w:w="3950" w:type="pct"/>
            <w:noWrap w:val="0"/>
            <w:vAlign w:val="top"/>
          </w:tcPr>
          <w:p w14:paraId="5E9C9DDF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回路划分：按前厅、历史展区、成果展区、实物展柜、荣誉区、尾厅分区独立回路；</w:t>
            </w:r>
          </w:p>
          <w:p w14:paraId="34F0EA48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维护系数：0.8，符合文博展厅清洁维护标准；</w:t>
            </w:r>
          </w:p>
          <w:p w14:paraId="2193294A">
            <w:pPr>
              <w:numPr>
                <w:ilvl w:val="0"/>
                <w:numId w:val="4"/>
              </w:numPr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过载、短路、漏电全套电气保护，满足校园安全规范。</w:t>
            </w:r>
          </w:p>
        </w:tc>
      </w:tr>
    </w:tbl>
    <w:p w14:paraId="56F7C0F7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sz w:val="24"/>
        </w:rPr>
      </w:pPr>
    </w:p>
    <w:p w14:paraId="2946B82E">
      <w:pPr>
        <w:pStyle w:val="3"/>
        <w:bidi w:val="0"/>
      </w:pPr>
      <w:bookmarkStart w:id="11" w:name="_Toc30167"/>
      <w:r>
        <w:rPr>
          <w:rFonts w:hint="eastAsia"/>
        </w:rPr>
        <w:t>六、智能中控系统整体功能及技术参数</w:t>
      </w:r>
      <w:bookmarkEnd w:id="11"/>
    </w:p>
    <w:p w14:paraId="15FCCC99">
      <w:p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（一）智能中控系统整体功能</w:t>
      </w:r>
    </w:p>
    <w:p w14:paraId="2151705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展厅需配置一体化展厅智能中控系统，采用主机集中管控、平板无线操控、预设场景模式，实现灯光、多媒体、音频、电源、时序的全自动化管理，彻底替代人工逐设备操作，适配学校老师、管理员简易运维。需具备以下核心控制功能：</w:t>
      </w:r>
    </w:p>
    <w:p w14:paraId="7A8519C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1.灯光全域智能管控</w:t>
      </w:r>
    </w:p>
    <w:p w14:paraId="74FB27A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（1）全部分区灯光独立开关、0–100%无极调光；</w:t>
      </w:r>
    </w:p>
    <w:p w14:paraId="5785A4B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（2）单回路、多回路、全域分组自由控制；</w:t>
      </w:r>
    </w:p>
    <w:p w14:paraId="2A01FB60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（3）灯光状态实时回显，触摸屏可视化查看开闭状态、亮度数值。</w:t>
      </w:r>
    </w:p>
    <w:p w14:paraId="3C7564B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2.预设五大固定场景模式（一键切换）</w:t>
      </w:r>
    </w:p>
    <w:p w14:paraId="3AD903C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（1）开馆参观模式：全域灯光合理配比、多媒体自动开启、音频待命，标准接待展示状态；</w:t>
      </w:r>
    </w:p>
    <w:p w14:paraId="364FB6C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）精品讲解模式：重点展区提亮、环境光柔化，突出展品细节，适配专人讲解接待；</w:t>
      </w:r>
    </w:p>
    <w:p w14:paraId="7995697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）日常值守模式：降低整体亮度、关闭展柜重点灯，节能护品，适合白天常态值守；</w:t>
      </w:r>
    </w:p>
    <w:p w14:paraId="0417CCE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）清洁维护模式：全域基础灯全开、重点展示灯关闭，方便卫生清扫、设备检查；</w:t>
      </w:r>
    </w:p>
    <w:p w14:paraId="2700999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）闭馆休眠模式：所有设备时序关闭、系统待机、仅保留应急照明，杜绝长耗电。</w:t>
      </w:r>
    </w:p>
    <w:p w14:paraId="17C00AF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3.多媒体设备集中控制</w:t>
      </w:r>
    </w:p>
    <w:p w14:paraId="1491C13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（1）统一管控展厅所有外设：</w:t>
      </w:r>
    </w:p>
    <w:p w14:paraId="654F3FE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（2）LED屏/拼接屏：开关、亮度调节、信号切换、播放暂停；</w:t>
      </w:r>
    </w:p>
    <w:p w14:paraId="1F8702D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（3）音响功放：全域音量无级调节、单独静音、音源切换；</w:t>
      </w:r>
    </w:p>
    <w:p w14:paraId="2B34785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（4）投影仪、一体机：电源、信号、模式切换；</w:t>
      </w:r>
    </w:p>
    <w:p w14:paraId="06589045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（5）所有外设一键全开、一键全关，时序启动保护设备。</w:t>
      </w:r>
    </w:p>
    <w:p w14:paraId="06EF270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.智能感应节能</w:t>
      </w:r>
    </w:p>
    <w:p w14:paraId="3ACE59B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支持人体感应联动：无人时段自动降亮度、关闭重点展灯，有人进入自动恢复展示模式，适配学校低频参观场景。</w:t>
      </w:r>
    </w:p>
    <w:p w14:paraId="4251359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.权限分级管理</w:t>
      </w:r>
    </w:p>
    <w:p w14:paraId="39C8F93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（1）管理员权限：可修改场景、定时、参数设置、设备调试；</w:t>
      </w:r>
    </w:p>
    <w:p w14:paraId="5BA85CF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（2）普通操作员权限：仅可一键切换场景、基础开关，防止误操作改动系统参数。</w:t>
      </w:r>
    </w:p>
    <w:p w14:paraId="327439A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7.状态监测与安全保护</w:t>
      </w:r>
    </w:p>
    <w:p w14:paraId="3AD7168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（1）实时监测灯光回路、多媒体设备运行状态；</w:t>
      </w:r>
    </w:p>
    <w:p w14:paraId="5A2C232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（2）异常断电、过载自动保护，上电自动恢复预设场景；</w:t>
      </w:r>
    </w:p>
    <w:p w14:paraId="0B02BD8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（3）操作日志记录，可回溯设备使用记录，便于校园资产管理。</w:t>
      </w:r>
    </w:p>
    <w:p w14:paraId="533C808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（二）智能中控系统参数要求</w:t>
      </w:r>
    </w:p>
    <w:tbl>
      <w:tblPr>
        <w:tblStyle w:val="6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1011"/>
        <w:gridCol w:w="6877"/>
      </w:tblGrid>
      <w:tr w14:paraId="459149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941D1">
            <w:pPr>
              <w:numPr>
                <w:ilvl w:val="0"/>
                <w:numId w:val="0"/>
              </w:numPr>
              <w:spacing w:line="360" w:lineRule="auto"/>
              <w:ind w:leftChars="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063A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C4C2C"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技术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参数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要求</w:t>
            </w:r>
          </w:p>
        </w:tc>
      </w:tr>
      <w:tr w14:paraId="56DC0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EF6E1">
            <w:pPr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E155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中控核心硬件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D9430">
            <w:pPr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中控主机：工业级嵌入式主机，ARM架构，稳定7×24小时待机；</w:t>
            </w:r>
          </w:p>
          <w:p w14:paraId="513CBF47">
            <w:pPr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控制端口：支持RS232、RS485、IR红外、继电器、网络TCP/IP全协议；</w:t>
            </w:r>
          </w:p>
          <w:p w14:paraId="796D512F">
            <w:pPr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操控终端：10寸无线触摸屏（墙面固定+移动手持双模式）；</w:t>
            </w:r>
          </w:p>
          <w:p w14:paraId="712BB4C9">
            <w:pPr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响应速度：设备指令响应≤0.5秒，无延迟卡顿；</w:t>
            </w:r>
          </w:p>
          <w:p w14:paraId="1BAD40C6">
            <w:pPr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拓展性：可后期新增显示屏、投影仪、传感器、门禁联动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11918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393E6">
            <w:pPr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5BDD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PAD控制系统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24AF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用户可编程设置多种控制协议和代码；网络通讯：10m/100m/1000m自适应Ethernet接口；支持本地及远程多种控制方式，采用32位内嵌式处理器，支持串口环出，8路数字I/0输入输出控制口:8路弱电继电器控制接口:支持硬件学习红外功能;8路独立可编程IR红外发射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。</w:t>
            </w:r>
          </w:p>
        </w:tc>
      </w:tr>
      <w:tr w14:paraId="62EC5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93F73">
            <w:pPr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0EA82">
            <w:pPr>
              <w:widowControl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触摸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5773F">
            <w:pPr>
              <w:widowControl/>
              <w:numPr>
                <w:ilvl w:val="0"/>
                <w:numId w:val="0"/>
              </w:numPr>
              <w:spacing w:line="360" w:lineRule="auto"/>
              <w:ind w:left="0" w:left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（一）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屏幕参数</w:t>
            </w:r>
          </w:p>
          <w:p w14:paraId="16FFC397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屏幕尺寸：60寸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03FBECD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屏幕比例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16:9；</w:t>
            </w:r>
          </w:p>
          <w:p w14:paraId="088AAD2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显示分辨率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1920(水平)×1080（垂直）；</w:t>
            </w:r>
          </w:p>
          <w:p w14:paraId="1E189A33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面板类型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a-siTFT-LCD；</w:t>
            </w:r>
          </w:p>
          <w:p w14:paraId="7C654FCA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背光灯类型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LED光源；</w:t>
            </w:r>
          </w:p>
          <w:p w14:paraId="2ED05A7A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屏幕视角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全视角178/178/178/178(L/R/U/D)；</w:t>
            </w:r>
          </w:p>
          <w:p w14:paraId="6339D88D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亮度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350cd/m2；</w:t>
            </w:r>
          </w:p>
          <w:p w14:paraId="7A3CB169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对比度≥1200:1；</w:t>
            </w:r>
          </w:p>
          <w:p w14:paraId="581D49C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色彩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真彩色16.7M；</w:t>
            </w:r>
          </w:p>
          <w:p w14:paraId="4F33723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响应时间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5ms；</w:t>
            </w:r>
          </w:p>
          <w:p w14:paraId="4DB2304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屏幕表面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材质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防撞、防刮伤特殊钢化玻璃设计；</w:t>
            </w:r>
          </w:p>
          <w:p w14:paraId="17120956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触摸方式：电容；</w:t>
            </w:r>
          </w:p>
          <w:p w14:paraId="4414A88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感应物体手指；</w:t>
            </w:r>
          </w:p>
          <w:p w14:paraId="1E384D3B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响应时间单点触摸：首点（点击）;≤8MS连续（书写）；≤3MS多点模式：</w:t>
            </w:r>
          </w:p>
          <w:p w14:paraId="606D4F1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首点（点击）≤8MS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32DBCA6F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连续（手写）≤8MS；</w:t>
            </w:r>
          </w:p>
          <w:p w14:paraId="10EE6CFD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光标速度单点：≥300点/秒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0D9FE3F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多点：≥125点/秒；</w:t>
            </w:r>
          </w:p>
          <w:p w14:paraId="32ECA8A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使用寿命≥600000000次点击；</w:t>
            </w:r>
          </w:p>
          <w:p w14:paraId="4C288AE3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触摸屏电源USB供电(4.6-5.0V直流）；</w:t>
            </w:r>
          </w:p>
          <w:p w14:paraId="23E4F9FC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功耗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1W；多点操作10点操作与书写；</w:t>
            </w:r>
          </w:p>
          <w:p w14:paraId="1167CAC9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抗光干扰功能能在太阳直射情况下工作；</w:t>
            </w:r>
          </w:p>
          <w:p w14:paraId="7DBF13A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内置主机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</w:tc>
      </w:tr>
      <w:tr w14:paraId="10E0C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F7802">
            <w:pPr>
              <w:widowControl/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0D7C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触摸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</w:t>
            </w: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lang w:bidi="ar"/>
              </w:rPr>
              <w:t>内容制作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04A71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结合空间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陈列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方案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招标人指定要求进行内容策划方案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策划及制作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，提交甲方审核并修改，修改完毕后进行内容制作；</w:t>
            </w:r>
          </w:p>
          <w:p w14:paraId="2D9D9E09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根据招标人现有资料，补充搜集，视频、图片、文字、音频等资料并整合；</w:t>
            </w:r>
          </w:p>
          <w:p w14:paraId="03C8F01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根据确定的展示逻辑进行资料的修补、处理等数字内容制作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6374BE3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根据资料设计符合展示要求的UI界面，要求UI界面美观大方；</w:t>
            </w:r>
          </w:p>
          <w:p w14:paraId="1E08850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根据内容策划方案，预设逻辑、按钮编写程序代码，程序与预设UI及页面联动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</w:tc>
      </w:tr>
      <w:tr w14:paraId="71BA3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DC729">
            <w:pPr>
              <w:widowControl/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6A4B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多功能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二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4EBBF"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屏幕参数</w:t>
            </w:r>
          </w:p>
          <w:p w14:paraId="6EA816EF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屏幕尺寸：42寸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19103CCD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屏幕比例16:9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4DAA1A4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显示分辨率1920(水平)×1080（垂直）；</w:t>
            </w:r>
          </w:p>
          <w:p w14:paraId="505078B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面板类型a-siTFT-LCD；</w:t>
            </w:r>
          </w:p>
          <w:p w14:paraId="709465A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背光灯类型LED光源；</w:t>
            </w:r>
          </w:p>
          <w:p w14:paraId="468F452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屏幕视角全视角178/178/178/178(L/R/U/D)；</w:t>
            </w:r>
          </w:p>
          <w:p w14:paraId="37EA8FA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亮度350cd/m2；</w:t>
            </w:r>
          </w:p>
          <w:p w14:paraId="75C7AF4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对比度≥1200:1；</w:t>
            </w:r>
          </w:p>
          <w:p w14:paraId="3AA8614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色彩真彩色16.7M；</w:t>
            </w:r>
          </w:p>
          <w:p w14:paraId="50E0573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响应时间5ms；</w:t>
            </w:r>
          </w:p>
          <w:p w14:paraId="6AC3933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屏幕表面防撞、防刮伤特殊钢化玻璃设计；</w:t>
            </w:r>
          </w:p>
          <w:p w14:paraId="13D4C69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触摸方式：电容；</w:t>
            </w:r>
          </w:p>
          <w:p w14:paraId="258DDB4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感应物体手指；响应时间单点触摸：首点（点击）;≤8MS连续（书写）；≤3MS多点模式：首点（点击）≤8MS;连续（手写）≤8MS；光标速度单点：≥300点/秒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2CCDE95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多点：≥125点/秒；</w:t>
            </w:r>
          </w:p>
          <w:p w14:paraId="072F9E5F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使用寿命≥600000000次点击；</w:t>
            </w:r>
          </w:p>
          <w:p w14:paraId="02C0C3AD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触摸屏电源USB供电(4.6-5.0V直流）；</w:t>
            </w:r>
          </w:p>
          <w:p w14:paraId="37B68B83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功耗≤1W；</w:t>
            </w:r>
          </w:p>
          <w:p w14:paraId="4F956AB6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多点操作10点操作与书写；</w:t>
            </w:r>
          </w:p>
          <w:p w14:paraId="55CF933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抗光干扰功能能在太阳直射情况下工作；</w:t>
            </w:r>
          </w:p>
          <w:p w14:paraId="2D5F6F4E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内置主机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</w:tc>
      </w:tr>
      <w:tr w14:paraId="02296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3A4B9">
            <w:pPr>
              <w:widowControl/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A76B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多功能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内容制作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8DDBC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结合空间方案和招标人指定要求进行内容策划方案，提交甲方审核并修改，修改完毕后进行内容制作；</w:t>
            </w:r>
          </w:p>
          <w:p w14:paraId="312AD9F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根据招标人现有资料，补充搜集，视频、图片、文字、音频等资料并整合；</w:t>
            </w:r>
          </w:p>
          <w:p w14:paraId="6C039C99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根据确定的展示逻辑进行资料的修补、处理等数字内容制作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75AC37A3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根据资料设计符合展示要求的UI界面，要求UI界面美观大方；</w:t>
            </w:r>
          </w:p>
          <w:p w14:paraId="4D96B32B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根据内容策划方案，预设逻辑、按钮编写程序代码，程序与预设UI及页面联动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</w:tc>
      </w:tr>
      <w:tr w14:paraId="4E8900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7F064">
            <w:pPr>
              <w:widowControl/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375AC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led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三</w:t>
            </w:r>
          </w:p>
          <w:p w14:paraId="2C16D8B2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6785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规格尺寸：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LED拼接屏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尺寸22㎡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41D0011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点间距:2.5/3；单模组尺寸根据设计要求定制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306D5E8D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刷新率3840HZ，对比度9000:1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21423146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水平/垂直视角171°，发光中心距偏差0.8%；</w:t>
            </w:r>
          </w:p>
          <w:p w14:paraId="33EB90B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亮度500cd/㎡，亮度均匀性99.3%，亮度鉴别等级Bj24；</w:t>
            </w:r>
          </w:p>
          <w:p w14:paraId="7F97B118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内部线材使用低烟无卤素环保线材，套件材料采用聚碳酸酯和玻璃纤维材质；</w:t>
            </w:r>
          </w:p>
          <w:p w14:paraId="1FB8953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PCB采用FR-4材质，灯驱合一，电路及表面处理采用双层板OSP工艺；</w:t>
            </w:r>
          </w:p>
          <w:p w14:paraId="047BB26F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电流增益调节级别8位，电流增益调节范围1%-199%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158D2465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支持单点亮度色度校正功能，校正后亮度损失&lt;7%，屏体正面为亚黑处理，反光率≤2%；</w:t>
            </w:r>
          </w:p>
          <w:p w14:paraId="73707B8A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LED显示屏画面延迟500ns，画面信噪比60dB；</w:t>
            </w:r>
          </w:p>
          <w:p w14:paraId="5010932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具有隐亮消除、毛毛虫现象消除、具有H2S宽动态处理技术，正常工作显示画面无重影和拖尾现象，无几何失真和非线性失真；</w:t>
            </w:r>
          </w:p>
          <w:p w14:paraId="2D386B04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噪声:专业环境测试距离1m时，声压级5db;</w:t>
            </w:r>
          </w:p>
          <w:p w14:paraId="75CCD200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根据设计效果定制屏体支撑结构，满足设备使用要求</w:t>
            </w:r>
          </w:p>
          <w:p w14:paraId="4D87462A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内置主机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702B5AA2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搭配控制显示界面参数同5.多功能显示设备；</w:t>
            </w:r>
          </w:p>
        </w:tc>
      </w:tr>
      <w:tr w14:paraId="4C9891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0BB46">
            <w:pPr>
              <w:widowControl/>
              <w:numPr>
                <w:ilvl w:val="0"/>
                <w:numId w:val="5"/>
              </w:numPr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F15E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显示设备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内容制作</w:t>
            </w:r>
          </w:p>
        </w:tc>
        <w:tc>
          <w:tcPr>
            <w:tcW w:w="4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61D3B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根据要求进行内容策划方案，提交甲方审核并修改，修改完毕后进行内容制作；</w:t>
            </w:r>
          </w:p>
          <w:p w14:paraId="7764E20F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根据招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标人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现有资料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进行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补充搜集，视频、图片、文字、音频等资料并整合；</w:t>
            </w:r>
          </w:p>
          <w:p w14:paraId="071AD6A1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根据确定的展示逻辑进行资料的修补、处理等数字内容制作；</w:t>
            </w:r>
          </w:p>
          <w:p w14:paraId="542F9AB3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结合要求背景音乐以及制作解说词和配音，音乐和配音解说词满足展示内容要求；</w:t>
            </w:r>
          </w:p>
          <w:p w14:paraId="15570D99">
            <w:pPr>
              <w:widowControl/>
              <w:numPr>
                <w:ilvl w:val="0"/>
                <w:numId w:val="6"/>
              </w:numPr>
              <w:spacing w:line="360" w:lineRule="auto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运用专业的特效软件进行特效制作，数字内容与声乐部分合成，包装，调色，输出成片，交付使用的成果不得侵犯其他人或组织的肖像权、隐私权、知识产权等权益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。</w:t>
            </w:r>
          </w:p>
        </w:tc>
      </w:tr>
    </w:tbl>
    <w:p w14:paraId="2BC8F578"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647CD6"/>
    <w:multiLevelType w:val="singleLevel"/>
    <w:tmpl w:val="BC647CD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11D45C3"/>
    <w:multiLevelType w:val="singleLevel"/>
    <w:tmpl w:val="F11D45C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7603006"/>
    <w:multiLevelType w:val="singleLevel"/>
    <w:tmpl w:val="0760300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38291F77"/>
    <w:multiLevelType w:val="singleLevel"/>
    <w:tmpl w:val="38291F7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4452928B"/>
    <w:multiLevelType w:val="singleLevel"/>
    <w:tmpl w:val="4452928B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60D66682"/>
    <w:multiLevelType w:val="singleLevel"/>
    <w:tmpl w:val="60D66682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540B10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paragraph" w:styleId="3">
    <w:name w:val="heading 3"/>
    <w:basedOn w:val="1"/>
    <w:next w:val="4"/>
    <w:qFormat/>
    <w:uiPriority w:val="0"/>
    <w:pPr>
      <w:keepNext/>
      <w:keepLines/>
      <w:autoSpaceDE w:val="0"/>
      <w:autoSpaceDN w:val="0"/>
      <w:adjustRightInd w:val="0"/>
      <w:spacing w:line="360" w:lineRule="auto"/>
      <w:ind w:left="709" w:hanging="709"/>
      <w:jc w:val="left"/>
      <w:outlineLvl w:val="2"/>
    </w:pPr>
    <w:rPr>
      <w:rFonts w:ascii="宋体" w:hAnsi="宋体" w:eastAsia="宋体" w:cs="Times New Roman"/>
      <w:b/>
      <w:bCs/>
      <w:kern w:val="0"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cs="Times New Roman"/>
      <w:kern w:val="0"/>
      <w:sz w:val="24"/>
      <w:szCs w:val="20"/>
    </w:rPr>
  </w:style>
  <w:style w:type="paragraph" w:styleId="5">
    <w:name w:val="toc 4"/>
    <w:basedOn w:val="1"/>
    <w:next w:val="1"/>
    <w:unhideWhenUsed/>
    <w:qFormat/>
    <w:uiPriority w:val="39"/>
  </w:style>
  <w:style w:type="character" w:customStyle="1" w:styleId="8">
    <w:name w:val="font11"/>
    <w:qFormat/>
    <w:uiPriority w:val="0"/>
    <w:rPr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2026-08-12T02:20:10Z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