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版本号：SXHC2026-11120260528001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“家门口”就业服务驿站建设运营项目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SXHC2026-111</w:t>
      </w:r>
      <w:r>
        <w:br/>
      </w:r>
      <w:r>
        <w:br/>
      </w:r>
      <w:r>
        <w:br/>
      </w:r>
    </w:p>
    <w:p>
      <w:pPr>
        <w:pStyle w:val="null3"/>
        <w:jc w:val="center"/>
        <w:outlineLvl w:val="2"/>
      </w:pPr>
      <w:r>
        <w:rPr>
          <w:rFonts w:ascii="仿宋_GB2312" w:hAnsi="仿宋_GB2312" w:cs="仿宋_GB2312" w:eastAsia="仿宋_GB2312"/>
          <w:sz w:val="28"/>
          <w:b/>
        </w:rPr>
        <w:t>中共西安高新技术产业开发区工作委员会组织人事部</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中共西安高新技术产业开发区工作委员会组织人事部</w:t>
      </w:r>
      <w:r>
        <w:rPr>
          <w:rFonts w:ascii="仿宋_GB2312" w:hAnsi="仿宋_GB2312" w:cs="仿宋_GB2312" w:eastAsia="仿宋_GB2312"/>
        </w:rPr>
        <w:t>委托，拟对</w:t>
      </w:r>
      <w:r>
        <w:rPr>
          <w:rFonts w:ascii="仿宋_GB2312" w:hAnsi="仿宋_GB2312" w:cs="仿宋_GB2312" w:eastAsia="仿宋_GB2312"/>
        </w:rPr>
        <w:t>“家门口”就业服务驿站建设运营项目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SXHC2026-111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“家门口”就业服务驿站建设运营项目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深入贯彻《关于印发〈西安市就业创业服务驿站建设指引（试行）〉的通知》文件精神，深化就业服务提质增效，升级“家门口”就业服务，高新区拟提升建设和运营13个就业服务驿站，启动“家门口”就业服务驿站建设运营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采购包1（“家门口”就业服务驿站建设运营项目）：属于专门面向中小企业采购。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中共西安高新技术产业开发区工作委员会组织人事部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丝路创智谷1号楼305室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中共西安高新技术产业开发区工作委员会组织人事部经办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陈工 029-88321790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陕西省西安市高新区锦业路1号绿地领海B座10楼1006室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王丹妮、赵凡、张聪聪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代理服务费收费标准：1、招标代理服务费的计算方法：以成交金额为基数，参考《国家计委关于印发&lt;招 标代理服务收费管理暂行办法&gt;的通知》（计价格〔2002〕1980号）及《国家发改委关于降低 部分建设项目收费标准规范收费行为等有关问题的通知》（发改价格〔2011〕534号） 规定按标准下浮10%收取。若按照标准收取不足6000元，按6000元计取。2、招标代理服务费可以采取现金、支票、银行汇票、电汇、网银等方式缴纳。 3、招标代理服务费缴纳信息： 银行户名：陕西华采招标有限公司 开户银行：招商银行陕西自贸试验区西安高新科技支行 账号：1299 0594 2210 666 联系人：韩工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中共西安高新技术产业开发区工作委员会组织人事部</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中共西安高新技术产业开发区工作委员会组织人事部</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中共西安高新技术产业开发区工作委员会组织人事部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联系电话：029-68255920-804</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贯彻《关于印发〈西安市就业创业服务驿站建设指引（试行）〉的通知》文件精神，深化就业服务提质增效，升级“家门口”就业服务，高新区拟提升建设和运营13个就业服务驿站，启动“家门口”就业服务驿站建设运营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家门口就业服务驿站建设运营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标的名称：家门口就业服务驿站建设运营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b/>
              </w:rPr>
              <w:t>一、</w:t>
            </w:r>
            <w:r>
              <w:rPr>
                <w:rFonts w:ascii="仿宋_GB2312" w:hAnsi="仿宋_GB2312" w:cs="仿宋_GB2312" w:eastAsia="仿宋_GB2312"/>
                <w:b/>
              </w:rPr>
              <w:t>项目概况</w:t>
            </w:r>
          </w:p>
          <w:p>
            <w:pPr>
              <w:pStyle w:val="null3"/>
              <w:ind w:firstLine="480"/>
              <w:jc w:val="both"/>
            </w:pPr>
            <w:r>
              <w:rPr>
                <w:rFonts w:ascii="仿宋_GB2312" w:hAnsi="仿宋_GB2312" w:cs="仿宋_GB2312" w:eastAsia="仿宋_GB2312"/>
                <w:color w:val="000000"/>
              </w:rPr>
              <w:t>为深入贯彻《关于印发〈西安市就业创业服务驿站建设指引（试行）〉的通知》文件精神，深化就业服务提质增效，升级“家门口”就业服务，高新区拟提升建设和运营13个就业服务驿站，启动“家门口”就业服务驿站建设运营项目。</w:t>
            </w:r>
          </w:p>
          <w:p>
            <w:pPr>
              <w:pStyle w:val="null3"/>
              <w:ind w:firstLine="380"/>
              <w:jc w:val="left"/>
            </w:pPr>
            <w:r>
              <w:rPr>
                <w:rFonts w:ascii="仿宋_GB2312" w:hAnsi="仿宋_GB2312" w:cs="仿宋_GB2312" w:eastAsia="仿宋_GB2312"/>
                <w:b/>
                <w:color w:val="000000"/>
              </w:rPr>
              <w:t>二、</w:t>
            </w:r>
            <w:r>
              <w:rPr>
                <w:rFonts w:ascii="仿宋_GB2312" w:hAnsi="仿宋_GB2312" w:cs="仿宋_GB2312" w:eastAsia="仿宋_GB2312"/>
                <w:b/>
                <w:color w:val="000000"/>
              </w:rPr>
              <w:t>服务内容</w:t>
            </w:r>
          </w:p>
          <w:p>
            <w:pPr>
              <w:pStyle w:val="null3"/>
              <w:ind w:firstLine="400"/>
              <w:jc w:val="both"/>
            </w:pPr>
            <w:r>
              <w:rPr>
                <w:rFonts w:ascii="仿宋_GB2312" w:hAnsi="仿宋_GB2312" w:cs="仿宋_GB2312" w:eastAsia="仿宋_GB2312"/>
                <w:color w:val="000000"/>
              </w:rPr>
              <w:t>（一）负责高新区13个就业驿站日常接待和活动组织，管理和使用全市就业驿站管理系统。全年组织驿站活动不少于130场，安排不少于7名工作人员负责驿站日常运营。其中在高校驿站、园区驿站、社区驿站中各选定1-2个驿站作为“标准化就业驿站”重点运营，每个“标准化就业驿站”要求配备1-2名专职工作人员，重点驿站运营人员不超过5名。其余就业驿站的日常维护由第三方公司派出2名工作人员轮流值班。</w:t>
            </w:r>
          </w:p>
          <w:p>
            <w:pPr>
              <w:pStyle w:val="null3"/>
              <w:ind w:firstLine="400"/>
              <w:jc w:val="both"/>
            </w:pPr>
            <w:r>
              <w:rPr>
                <w:rFonts w:ascii="仿宋_GB2312" w:hAnsi="仿宋_GB2312" w:cs="仿宋_GB2312" w:eastAsia="仿宋_GB2312"/>
                <w:color w:val="000000"/>
              </w:rPr>
              <w:t>（二）做好日常业务咨询受理、来访人员接待解答等服务；做好企业岗位信息搜集、信息平台维护、智慧自助机信息维护、指导来访群众使用智慧智慧自助机等工作；做好求职群众的求职登记、就业指导、重点就业人群帮扶跟踪等精准帮扶；做好来访企业招聘信息上传、用工需求登记、政策咨询解答等工作；其他需要就业驿站配合工作。</w:t>
            </w:r>
          </w:p>
          <w:p>
            <w:pPr>
              <w:pStyle w:val="null3"/>
              <w:ind w:firstLine="402"/>
              <w:jc w:val="left"/>
            </w:pPr>
            <w:r>
              <w:rPr>
                <w:rFonts w:ascii="仿宋_GB2312" w:hAnsi="仿宋_GB2312" w:cs="仿宋_GB2312" w:eastAsia="仿宋_GB2312"/>
                <w:b/>
                <w:color w:val="000000"/>
              </w:rPr>
              <w:t>三、商务要求</w:t>
            </w:r>
          </w:p>
          <w:p>
            <w:pPr>
              <w:pStyle w:val="null3"/>
              <w:ind w:firstLine="380"/>
              <w:jc w:val="left"/>
            </w:pPr>
            <w:r>
              <w:rPr>
                <w:rFonts w:ascii="仿宋_GB2312" w:hAnsi="仿宋_GB2312" w:cs="仿宋_GB2312" w:eastAsia="仿宋_GB2312"/>
                <w:color w:val="000000"/>
              </w:rPr>
              <w:t>（</w:t>
            </w:r>
            <w:r>
              <w:rPr>
                <w:rFonts w:ascii="仿宋_GB2312" w:hAnsi="仿宋_GB2312" w:cs="仿宋_GB2312" w:eastAsia="仿宋_GB2312"/>
                <w:color w:val="000000"/>
              </w:rPr>
              <w:t>一</w:t>
            </w:r>
            <w:r>
              <w:rPr>
                <w:rFonts w:ascii="仿宋_GB2312" w:hAnsi="仿宋_GB2312" w:cs="仿宋_GB2312" w:eastAsia="仿宋_GB2312"/>
                <w:color w:val="000000"/>
              </w:rPr>
              <w:t>）</w:t>
            </w:r>
            <w:r>
              <w:rPr>
                <w:rFonts w:ascii="仿宋_GB2312" w:hAnsi="仿宋_GB2312" w:cs="仿宋_GB2312" w:eastAsia="仿宋_GB2312"/>
                <w:color w:val="000000"/>
              </w:rPr>
              <w:t>服务期限：自合同签订之日起</w:t>
            </w:r>
            <w:r>
              <w:rPr>
                <w:rFonts w:ascii="仿宋_GB2312" w:hAnsi="仿宋_GB2312" w:cs="仿宋_GB2312" w:eastAsia="仿宋_GB2312"/>
                <w:color w:val="000000"/>
              </w:rPr>
              <w:t>一年</w:t>
            </w:r>
            <w:r>
              <w:rPr>
                <w:rFonts w:ascii="仿宋_GB2312" w:hAnsi="仿宋_GB2312" w:cs="仿宋_GB2312" w:eastAsia="仿宋_GB2312"/>
                <w:color w:val="000000"/>
              </w:rPr>
              <w:t>。</w:t>
            </w:r>
          </w:p>
          <w:p>
            <w:pPr>
              <w:pStyle w:val="null3"/>
              <w:ind w:firstLine="380"/>
              <w:jc w:val="left"/>
            </w:pPr>
            <w:r>
              <w:rPr>
                <w:rFonts w:ascii="仿宋_GB2312" w:hAnsi="仿宋_GB2312" w:cs="仿宋_GB2312" w:eastAsia="仿宋_GB2312"/>
                <w:color w:val="000000"/>
              </w:rPr>
              <w:t>（</w:t>
            </w:r>
            <w:r>
              <w:rPr>
                <w:rFonts w:ascii="仿宋_GB2312" w:hAnsi="仿宋_GB2312" w:cs="仿宋_GB2312" w:eastAsia="仿宋_GB2312"/>
                <w:color w:val="000000"/>
              </w:rPr>
              <w:t>二</w:t>
            </w:r>
            <w:r>
              <w:rPr>
                <w:rFonts w:ascii="仿宋_GB2312" w:hAnsi="仿宋_GB2312" w:cs="仿宋_GB2312" w:eastAsia="仿宋_GB2312"/>
                <w:color w:val="000000"/>
              </w:rPr>
              <w:t>）</w:t>
            </w:r>
            <w:r>
              <w:rPr>
                <w:rFonts w:ascii="仿宋_GB2312" w:hAnsi="仿宋_GB2312" w:cs="仿宋_GB2312" w:eastAsia="仿宋_GB2312"/>
                <w:color w:val="000000"/>
              </w:rPr>
              <w:t>服务地点：</w:t>
            </w:r>
            <w:r>
              <w:rPr>
                <w:rFonts w:ascii="仿宋_GB2312" w:hAnsi="仿宋_GB2312" w:cs="仿宋_GB2312" w:eastAsia="仿宋_GB2312"/>
                <w:color w:val="000000"/>
              </w:rPr>
              <w:t>西安市高新区，具体以采购人指定地点为主。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西安市高新区，具体以采购人指定地点为主。</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进度款，合同签订后，甲方收到乙方开具的全额合格发票后，达到付款条件起15个工作日内，支付合同总金额的40.0%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进度款，合同到期，根据服务实际验收合格，甲方收到乙方开具的全额合格发票后，达到付款条件起15个工作日内，支付合同总金额的60.0%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1、本项目所属行业为：租赁和商务服务业（根据《中小企业划型标准规定》（工信部联企业〔2011〕300号），租赁和商务服务业划分标准为“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2、因系统格式设置无法调整，合同付款支付要求以第7章“拟签订采购合同文本”中体现的内容为准。3、成交供应商在领取中标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从提交响应文件的截止之日起不少于90天。</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整体服务方案内容至少包括①对项目的理解分析；②活动策划方案；③服务目标；④活动要求及流程；⑤就业驿站日常运营、管理方案；⑥资料管理措施；⑦争议处理方案等。以上内容专门针对本项目且符合本项目实际需求的得28分，每缺一项内容扣4分，若上述内容存在瑕疵，每出现一处瑕疵扣2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项目实施进度计划内容至少包括①项目实施进度目标分析；②项目进度保障措施等。以上内容专门针对本项目且符合本项目实际需求的得8分，每缺一项内容扣4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质量保证措施及应急预案</w:t>
            </w:r>
          </w:p>
        </w:tc>
        <w:tc>
          <w:tcPr>
            <w:tcW w:type="dxa" w:w="2492"/>
          </w:tcPr>
          <w:p>
            <w:pPr>
              <w:pStyle w:val="null3"/>
            </w:pPr>
            <w:r>
              <w:rPr>
                <w:rFonts w:ascii="仿宋_GB2312" w:hAnsi="仿宋_GB2312" w:cs="仿宋_GB2312" w:eastAsia="仿宋_GB2312"/>
              </w:rPr>
              <w:t>质量保证措施及应急预案内容至少包括①质量保障方案；②突发情况的预防措施；③突发情况的解决措施等。以上内容专门针对本项目且符合本项目实际需求的得12分，每缺一项内容扣4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售后及保密服务</w:t>
            </w:r>
          </w:p>
        </w:tc>
        <w:tc>
          <w:tcPr>
            <w:tcW w:type="dxa" w:w="2492"/>
          </w:tcPr>
          <w:p>
            <w:pPr>
              <w:pStyle w:val="null3"/>
            </w:pPr>
            <w:r>
              <w:rPr>
                <w:rFonts w:ascii="仿宋_GB2312" w:hAnsi="仿宋_GB2312" w:cs="仿宋_GB2312" w:eastAsia="仿宋_GB2312"/>
              </w:rPr>
              <w:t>售后及保密服务内容，至少包括①对其所获取的信息提供保密措施；②现场的维护及安全保障；③驿站日常清洁维护工作措施等。以上内容专门针对本项目且符合本项目实际需求的得12分，每缺一项内容扣4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项目重点、难点分析</w:t>
            </w:r>
          </w:p>
        </w:tc>
        <w:tc>
          <w:tcPr>
            <w:tcW w:type="dxa" w:w="2492"/>
          </w:tcPr>
          <w:p>
            <w:pPr>
              <w:pStyle w:val="null3"/>
            </w:pPr>
            <w:r>
              <w:rPr>
                <w:rFonts w:ascii="仿宋_GB2312" w:hAnsi="仿宋_GB2312" w:cs="仿宋_GB2312" w:eastAsia="仿宋_GB2312"/>
              </w:rPr>
              <w:t>项目重点、难点分析内容至少包括①重点、难点分析；②应对措施等。以上内容专门针对本项目且符合本项目实际需求的得4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项目团队配置1</w:t>
            </w:r>
          </w:p>
        </w:tc>
        <w:tc>
          <w:tcPr>
            <w:tcW w:type="dxa" w:w="2492"/>
          </w:tcPr>
          <w:p>
            <w:pPr>
              <w:pStyle w:val="null3"/>
            </w:pPr>
            <w:r>
              <w:rPr>
                <w:rFonts w:ascii="仿宋_GB2312" w:hAnsi="仿宋_GB2312" w:cs="仿宋_GB2312" w:eastAsia="仿宋_GB2312"/>
              </w:rPr>
              <w:t>拟投入本项目的项目组成员不少于7人得4分，少于7人不得分。需提供配备人员开标前3个月内任意时间段的社保证明材料。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项目团队配置2</w:t>
            </w:r>
          </w:p>
        </w:tc>
        <w:tc>
          <w:tcPr>
            <w:tcW w:type="dxa" w:w="2492"/>
          </w:tcPr>
          <w:p>
            <w:pPr>
              <w:pStyle w:val="null3"/>
            </w:pPr>
            <w:r>
              <w:rPr>
                <w:rFonts w:ascii="仿宋_GB2312" w:hAnsi="仿宋_GB2312" w:cs="仿宋_GB2312" w:eastAsia="仿宋_GB2312"/>
              </w:rPr>
              <w:t>项目团队配置内容至少包括①团队组织人员配置明细；②团队人员管理制度；③各专业岗位配置；④配置人员资格、职称及工作经验等。以上内容专门针对本项目且符合本项目实际需求的得12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供应商具有2023年1月1日至今（以合同签订时间为准）同类项目业绩，响应文件中提供合同复印件并加盖供应商公章，每提供一个得2分，最高得10分。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采用低价优先法计算，即满足磋商文件内容及技术要求且最后报价最低的投标价为评标基准价，其价格分为满分。 最后报价得分=（评标基准价／磋商报价）×价格权值×100。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