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963A9">
      <w:pPr>
        <w:spacing w:line="240" w:lineRule="auto"/>
        <w:jc w:val="left"/>
        <w:rPr>
          <w:rFonts w:ascii="仿宋" w:hAnsi="仿宋" w:eastAsia="仿宋" w:cs="仿宋"/>
          <w:b/>
          <w:bCs/>
          <w:sz w:val="28"/>
          <w:szCs w:val="28"/>
        </w:rPr>
      </w:pPr>
      <w:r>
        <w:rPr>
          <w:rFonts w:hint="eastAsia" w:ascii="仿宋" w:hAnsi="仿宋" w:eastAsia="仿宋" w:cs="仿宋"/>
          <w:b/>
          <w:bCs/>
          <w:sz w:val="28"/>
          <w:szCs w:val="28"/>
        </w:rPr>
        <w:t xml:space="preserve">政府采购合同                        </w:t>
      </w:r>
    </w:p>
    <w:p w14:paraId="7D0D4336">
      <w:pPr>
        <w:widowControl w:val="0"/>
        <w:jc w:val="both"/>
        <w:rPr>
          <w:rFonts w:ascii="仿宋" w:hAnsi="仿宋" w:eastAsia="仿宋" w:cs="仿宋"/>
          <w:b/>
          <w:bCs/>
          <w:kern w:val="2"/>
          <w:sz w:val="28"/>
          <w:szCs w:val="28"/>
          <w:lang w:val="en-US" w:eastAsia="zh-CN" w:bidi="ar-SA"/>
        </w:rPr>
      </w:pPr>
    </w:p>
    <w:p w14:paraId="78D43154">
      <w:pPr>
        <w:widowControl w:val="0"/>
        <w:jc w:val="both"/>
        <w:rPr>
          <w:rFonts w:ascii="仿宋" w:hAnsi="仿宋" w:eastAsia="仿宋" w:cs="仿宋"/>
          <w:b/>
          <w:bCs/>
          <w:kern w:val="2"/>
          <w:sz w:val="28"/>
          <w:szCs w:val="28"/>
          <w:lang w:val="en-US" w:eastAsia="zh-CN" w:bidi="ar-SA"/>
        </w:rPr>
      </w:pPr>
    </w:p>
    <w:p w14:paraId="2F069B43">
      <w:pPr>
        <w:widowControl w:val="0"/>
        <w:jc w:val="both"/>
        <w:rPr>
          <w:rFonts w:ascii="仿宋" w:hAnsi="仿宋" w:eastAsia="仿宋" w:cs="仿宋"/>
          <w:kern w:val="2"/>
          <w:sz w:val="28"/>
          <w:szCs w:val="28"/>
          <w:lang w:val="en-US" w:eastAsia="zh-CN" w:bidi="ar-SA"/>
        </w:rPr>
      </w:pPr>
    </w:p>
    <w:p w14:paraId="6B8C0225">
      <w:pPr>
        <w:spacing w:line="240" w:lineRule="auto"/>
        <w:jc w:val="center"/>
        <w:rPr>
          <w:rFonts w:ascii="仿宋" w:hAnsi="仿宋" w:eastAsia="仿宋" w:cs="仿宋"/>
          <w:b/>
          <w:bCs/>
          <w:sz w:val="28"/>
          <w:szCs w:val="28"/>
        </w:rPr>
      </w:pP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项目</w:t>
      </w:r>
    </w:p>
    <w:p w14:paraId="75D96F15">
      <w:pPr>
        <w:spacing w:line="240" w:lineRule="auto"/>
        <w:rPr>
          <w:rFonts w:ascii="仿宋" w:hAnsi="仿宋" w:eastAsia="仿宋" w:cs="仿宋"/>
          <w:sz w:val="28"/>
          <w:szCs w:val="28"/>
        </w:rPr>
      </w:pPr>
    </w:p>
    <w:p w14:paraId="023B386C">
      <w:pPr>
        <w:spacing w:line="240" w:lineRule="auto"/>
        <w:rPr>
          <w:rFonts w:ascii="仿宋" w:hAnsi="仿宋" w:eastAsia="仿宋" w:cs="仿宋"/>
          <w:sz w:val="28"/>
          <w:szCs w:val="28"/>
        </w:rPr>
      </w:pPr>
    </w:p>
    <w:p w14:paraId="3A027D90">
      <w:pPr>
        <w:widowControl w:val="0"/>
        <w:jc w:val="both"/>
        <w:rPr>
          <w:rFonts w:ascii="仿宋" w:hAnsi="仿宋" w:eastAsia="仿宋" w:cs="仿宋"/>
          <w:kern w:val="2"/>
          <w:sz w:val="28"/>
          <w:szCs w:val="28"/>
          <w:lang w:val="en-US" w:eastAsia="zh-CN" w:bidi="ar-SA"/>
        </w:rPr>
      </w:pPr>
    </w:p>
    <w:p w14:paraId="54A9F602">
      <w:pPr>
        <w:spacing w:line="240" w:lineRule="auto"/>
        <w:rPr>
          <w:rFonts w:ascii="仿宋" w:hAnsi="仿宋" w:eastAsia="仿宋" w:cs="仿宋"/>
          <w:sz w:val="28"/>
          <w:szCs w:val="28"/>
        </w:rPr>
      </w:pPr>
    </w:p>
    <w:p w14:paraId="6F11C408">
      <w:pPr>
        <w:spacing w:line="240" w:lineRule="auto"/>
        <w:rPr>
          <w:rFonts w:ascii="仿宋" w:hAnsi="仿宋" w:eastAsia="仿宋" w:cs="仿宋"/>
          <w:sz w:val="28"/>
          <w:szCs w:val="28"/>
        </w:rPr>
      </w:pPr>
    </w:p>
    <w:p w14:paraId="0FF32BEC">
      <w:pPr>
        <w:spacing w:line="240" w:lineRule="auto"/>
        <w:jc w:val="center"/>
        <w:rPr>
          <w:rFonts w:ascii="仿宋" w:hAnsi="仿宋" w:eastAsia="仿宋" w:cs="仿宋"/>
          <w:b/>
          <w:sz w:val="28"/>
          <w:szCs w:val="28"/>
        </w:rPr>
      </w:pPr>
      <w:r>
        <w:rPr>
          <w:rFonts w:hint="eastAsia" w:ascii="仿宋" w:hAnsi="仿宋" w:eastAsia="仿宋" w:cs="仿宋"/>
          <w:b/>
          <w:sz w:val="28"/>
          <w:szCs w:val="28"/>
        </w:rPr>
        <w:t>（示范文本仅供参考）</w:t>
      </w:r>
    </w:p>
    <w:p w14:paraId="7B26FB24">
      <w:pPr>
        <w:spacing w:line="240" w:lineRule="auto"/>
        <w:jc w:val="center"/>
        <w:rPr>
          <w:rFonts w:ascii="仿宋" w:hAnsi="仿宋" w:eastAsia="仿宋" w:cs="仿宋"/>
          <w:b/>
          <w:sz w:val="28"/>
          <w:szCs w:val="28"/>
        </w:rPr>
      </w:pPr>
    </w:p>
    <w:p w14:paraId="238D1010">
      <w:pPr>
        <w:spacing w:line="240" w:lineRule="auto"/>
        <w:rPr>
          <w:rFonts w:ascii="仿宋" w:hAnsi="仿宋" w:eastAsia="仿宋" w:cs="仿宋"/>
          <w:b/>
          <w:sz w:val="28"/>
          <w:szCs w:val="28"/>
        </w:rPr>
      </w:pPr>
    </w:p>
    <w:p w14:paraId="59CE22B7">
      <w:pPr>
        <w:spacing w:line="240" w:lineRule="auto"/>
        <w:jc w:val="center"/>
        <w:rPr>
          <w:rFonts w:ascii="仿宋" w:hAnsi="仿宋" w:eastAsia="仿宋" w:cs="仿宋"/>
          <w:b/>
          <w:sz w:val="28"/>
          <w:szCs w:val="28"/>
        </w:rPr>
      </w:pPr>
    </w:p>
    <w:p w14:paraId="569A34BC">
      <w:pPr>
        <w:pStyle w:val="2"/>
      </w:pPr>
    </w:p>
    <w:p w14:paraId="505D689E">
      <w:pPr>
        <w:spacing w:before="156" w:beforeLines="50" w:line="360" w:lineRule="auto"/>
        <w:ind w:firstLine="1386" w:firstLineChars="493"/>
        <w:jc w:val="left"/>
        <w:rPr>
          <w:rFonts w:ascii="仿宋" w:hAnsi="仿宋" w:eastAsia="仿宋" w:cs="仿宋"/>
          <w:sz w:val="28"/>
          <w:szCs w:val="28"/>
          <w:u w:val="single"/>
        </w:rPr>
      </w:pPr>
      <w:r>
        <w:rPr>
          <w:rFonts w:hint="eastAsia" w:ascii="仿宋" w:hAnsi="仿宋" w:eastAsia="仿宋" w:cs="仿宋"/>
          <w:b/>
          <w:bCs/>
          <w:sz w:val="28"/>
          <w:szCs w:val="28"/>
        </w:rPr>
        <w:t>采购人：</w:t>
      </w:r>
      <w:r>
        <w:rPr>
          <w:rFonts w:hint="eastAsia" w:ascii="仿宋" w:hAnsi="仿宋" w:eastAsia="仿宋" w:cs="仿宋"/>
          <w:sz w:val="28"/>
          <w:szCs w:val="28"/>
          <w:u w:val="single"/>
        </w:rPr>
        <w:t xml:space="preserve">                     </w:t>
      </w:r>
    </w:p>
    <w:p w14:paraId="57ED149B">
      <w:pPr>
        <w:spacing w:before="156" w:beforeLines="50" w:line="360" w:lineRule="auto"/>
        <w:ind w:firstLine="1386" w:firstLineChars="493"/>
        <w:jc w:val="left"/>
        <w:rPr>
          <w:rFonts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w:t>
      </w:r>
    </w:p>
    <w:p w14:paraId="573C5EE4">
      <w:pPr>
        <w:widowControl w:val="0"/>
        <w:jc w:val="center"/>
        <w:rPr>
          <w:rFonts w:ascii="仿宋" w:hAnsi="仿宋" w:eastAsia="仿宋" w:cs="仿宋"/>
          <w:kern w:val="2"/>
          <w:sz w:val="31"/>
          <w:szCs w:val="31"/>
          <w:lang w:val="en-US" w:eastAsia="zh-CN" w:bidi="ar-SA"/>
        </w:rPr>
      </w:pPr>
      <w:r>
        <w:rPr>
          <w:rFonts w:hint="eastAsia" w:ascii="仿宋" w:hAnsi="仿宋" w:eastAsia="仿宋" w:cs="仿宋"/>
          <w:b/>
          <w:bCs/>
          <w:kern w:val="2"/>
          <w:sz w:val="28"/>
          <w:szCs w:val="28"/>
          <w:lang w:val="en-US" w:eastAsia="zh-CN" w:bidi="ar-SA"/>
        </w:rPr>
        <w:t>二〇二六年  月</w:t>
      </w:r>
    </w:p>
    <w:p w14:paraId="23D02B26">
      <w:pPr>
        <w:widowControl w:val="0"/>
        <w:jc w:val="both"/>
        <w:rPr>
          <w:rFonts w:ascii="仿宋" w:hAnsi="仿宋" w:eastAsia="仿宋" w:cs="仿宋"/>
          <w:kern w:val="2"/>
          <w:sz w:val="31"/>
          <w:szCs w:val="31"/>
          <w:lang w:val="en-US" w:eastAsia="zh-CN" w:bidi="ar-SA"/>
        </w:rPr>
      </w:pPr>
    </w:p>
    <w:p w14:paraId="76079CF1">
      <w:pPr>
        <w:widowControl w:val="0"/>
        <w:jc w:val="both"/>
        <w:rPr>
          <w:rFonts w:ascii="仿宋" w:hAnsi="仿宋" w:eastAsia="仿宋" w:cs="仿宋"/>
          <w:kern w:val="2"/>
          <w:sz w:val="31"/>
          <w:szCs w:val="31"/>
          <w:lang w:val="en-US" w:eastAsia="zh-CN" w:bidi="ar-SA"/>
        </w:rPr>
      </w:pPr>
    </w:p>
    <w:p w14:paraId="60159A65">
      <w:pPr>
        <w:widowControl w:val="0"/>
        <w:jc w:val="both"/>
        <w:rPr>
          <w:rFonts w:ascii="仿宋" w:hAnsi="仿宋" w:eastAsia="仿宋" w:cs="仿宋"/>
          <w:kern w:val="2"/>
          <w:sz w:val="31"/>
          <w:szCs w:val="31"/>
          <w:lang w:val="en-US" w:eastAsia="zh-CN" w:bidi="ar-SA"/>
        </w:rPr>
      </w:pPr>
    </w:p>
    <w:p w14:paraId="53D9F74E">
      <w:pPr>
        <w:spacing w:line="240" w:lineRule="auto"/>
        <w:jc w:val="center"/>
        <w:rPr>
          <w:rFonts w:ascii="仿宋" w:hAnsi="仿宋" w:eastAsia="仿宋" w:cs="仿宋"/>
          <w:b/>
          <w:bCs/>
          <w:sz w:val="32"/>
          <w:szCs w:val="40"/>
        </w:rPr>
      </w:pPr>
      <w:r>
        <w:rPr>
          <w:rFonts w:hint="eastAsia" w:ascii="仿宋" w:hAnsi="仿宋" w:eastAsia="仿宋" w:cs="仿宋"/>
          <w:b/>
          <w:bCs/>
          <w:sz w:val="28"/>
          <w:szCs w:val="36"/>
        </w:rPr>
        <w:t>合同主要条款</w:t>
      </w:r>
    </w:p>
    <w:p w14:paraId="14740CAE">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采购人（甲方）：</w:t>
      </w:r>
      <w:r>
        <w:rPr>
          <w:rFonts w:hint="eastAsia" w:ascii="仿宋" w:hAnsi="仿宋" w:eastAsia="仿宋" w:cs="仿宋"/>
          <w:b/>
          <w:sz w:val="22"/>
          <w:szCs w:val="22"/>
          <w:u w:val="single"/>
        </w:rPr>
        <w:t xml:space="preserve">                                      </w:t>
      </w:r>
    </w:p>
    <w:p w14:paraId="21902367">
      <w:pPr>
        <w:adjustRightInd w:val="0"/>
        <w:snapToGrid w:val="0"/>
        <w:spacing w:line="360" w:lineRule="auto"/>
        <w:ind w:firstLine="442" w:firstLineChars="200"/>
        <w:rPr>
          <w:rFonts w:ascii="仿宋" w:hAnsi="仿宋" w:eastAsia="仿宋" w:cs="仿宋"/>
          <w:sz w:val="22"/>
          <w:szCs w:val="22"/>
          <w:u w:val="single"/>
        </w:rPr>
      </w:pPr>
      <w:r>
        <w:rPr>
          <w:rFonts w:hint="eastAsia" w:ascii="仿宋" w:hAnsi="仿宋" w:eastAsia="仿宋" w:cs="仿宋"/>
          <w:b/>
          <w:sz w:val="22"/>
          <w:szCs w:val="22"/>
        </w:rPr>
        <w:t>供应商（乙方）：</w:t>
      </w:r>
      <w:r>
        <w:rPr>
          <w:rFonts w:hint="eastAsia" w:ascii="仿宋" w:hAnsi="仿宋" w:eastAsia="仿宋" w:cs="仿宋"/>
          <w:b/>
          <w:sz w:val="22"/>
          <w:szCs w:val="22"/>
          <w:u w:val="single"/>
        </w:rPr>
        <w:t xml:space="preserve">                                   </w:t>
      </w:r>
      <w:r>
        <w:rPr>
          <w:rFonts w:hint="eastAsia" w:ascii="仿宋" w:hAnsi="仿宋" w:eastAsia="仿宋" w:cs="仿宋"/>
          <w:sz w:val="22"/>
          <w:szCs w:val="22"/>
          <w:u w:val="single"/>
        </w:rPr>
        <w:t xml:space="preserve">   </w:t>
      </w:r>
    </w:p>
    <w:p w14:paraId="2AD80D9B">
      <w:pPr>
        <w:adjustRightInd w:val="0"/>
        <w:snapToGrid w:val="0"/>
        <w:spacing w:line="360" w:lineRule="auto"/>
        <w:ind w:firstLine="440" w:firstLineChars="200"/>
        <w:rPr>
          <w:rFonts w:ascii="仿宋" w:hAnsi="仿宋" w:eastAsia="仿宋" w:cs="仿宋"/>
          <w:sz w:val="22"/>
          <w:szCs w:val="22"/>
          <w:u w:val="single"/>
        </w:rPr>
      </w:pPr>
      <w:r>
        <w:rPr>
          <w:rFonts w:hint="eastAsia" w:ascii="仿宋" w:hAnsi="仿宋" w:eastAsia="仿宋" w:cs="仿宋"/>
          <w:sz w:val="22"/>
          <w:szCs w:val="22"/>
        </w:rPr>
        <w:t>根据《中华人民共和国民法典》及其他有关法律、法规，遵循平等、自愿、公平和诚信的原则，双方就下述项目范围与相关服务事项协商一致，订立本合同。</w:t>
      </w:r>
    </w:p>
    <w:p w14:paraId="13E93E3C">
      <w:pPr>
        <w:adjustRightInd w:val="0"/>
        <w:snapToGrid w:val="0"/>
        <w:spacing w:line="360" w:lineRule="auto"/>
        <w:ind w:firstLine="442" w:firstLineChars="200"/>
        <w:rPr>
          <w:rFonts w:ascii="仿宋" w:hAnsi="仿宋" w:eastAsia="仿宋" w:cs="仿宋"/>
          <w:bCs/>
          <w:sz w:val="22"/>
          <w:szCs w:val="22"/>
        </w:rPr>
      </w:pPr>
      <w:bookmarkStart w:id="0" w:name="_Toc21005"/>
      <w:bookmarkStart w:id="1" w:name="_Toc27361"/>
      <w:r>
        <w:rPr>
          <w:rFonts w:hint="eastAsia" w:ascii="仿宋" w:hAnsi="仿宋" w:eastAsia="仿宋" w:cs="仿宋"/>
          <w:b/>
          <w:sz w:val="22"/>
          <w:szCs w:val="22"/>
        </w:rPr>
        <w:t>第一条、合同约定的内容</w:t>
      </w:r>
      <w:bookmarkEnd w:id="0"/>
      <w:bookmarkEnd w:id="1"/>
      <w:r>
        <w:rPr>
          <w:rFonts w:hint="eastAsia" w:ascii="仿宋" w:hAnsi="仿宋" w:eastAsia="仿宋" w:cs="仿宋"/>
          <w:b/>
          <w:sz w:val="22"/>
          <w:szCs w:val="22"/>
        </w:rPr>
        <w:t>：</w:t>
      </w:r>
      <w:r>
        <w:rPr>
          <w:rFonts w:hint="eastAsia" w:ascii="仿宋" w:hAnsi="仿宋" w:eastAsia="仿宋" w:cs="仿宋"/>
          <w:bCs/>
          <w:sz w:val="22"/>
          <w:szCs w:val="22"/>
        </w:rPr>
        <w:t>西安公路路面智能巡检平台技术服务。</w:t>
      </w:r>
    </w:p>
    <w:p w14:paraId="79E5B15C">
      <w:pPr>
        <w:adjustRightInd w:val="0"/>
        <w:snapToGrid w:val="0"/>
        <w:spacing w:line="360" w:lineRule="auto"/>
        <w:ind w:firstLine="442" w:firstLineChars="200"/>
        <w:rPr>
          <w:rFonts w:ascii="仿宋" w:hAnsi="仿宋" w:eastAsia="仿宋" w:cs="仿宋"/>
          <w:b/>
          <w:sz w:val="22"/>
          <w:szCs w:val="22"/>
        </w:rPr>
      </w:pPr>
      <w:bookmarkStart w:id="2" w:name="_Toc12684"/>
      <w:r>
        <w:rPr>
          <w:rFonts w:hint="eastAsia" w:ascii="仿宋" w:hAnsi="仿宋" w:eastAsia="仿宋" w:cs="仿宋"/>
          <w:b/>
          <w:sz w:val="22"/>
          <w:szCs w:val="22"/>
        </w:rPr>
        <w:t>第二条、合同总金额</w:t>
      </w:r>
      <w:bookmarkEnd w:id="2"/>
      <w:r>
        <w:rPr>
          <w:rFonts w:hint="eastAsia" w:ascii="仿宋" w:hAnsi="仿宋" w:eastAsia="仿宋" w:cs="仿宋"/>
          <w:b/>
          <w:sz w:val="22"/>
          <w:szCs w:val="22"/>
        </w:rPr>
        <w:t xml:space="preserve">  </w:t>
      </w:r>
    </w:p>
    <w:p w14:paraId="6F922FF9">
      <w:pPr>
        <w:adjustRightInd w:val="0"/>
        <w:snapToGrid w:val="0"/>
        <w:spacing w:line="360" w:lineRule="auto"/>
        <w:ind w:firstLine="1320" w:firstLineChars="600"/>
        <w:rPr>
          <w:rFonts w:ascii="仿宋" w:hAnsi="仿宋" w:eastAsia="仿宋" w:cs="仿宋"/>
          <w:bCs/>
          <w:sz w:val="22"/>
          <w:szCs w:val="22"/>
          <w:u w:val="single"/>
        </w:rPr>
      </w:pPr>
      <w:r>
        <w:rPr>
          <w:rFonts w:hint="eastAsia" w:ascii="仿宋" w:hAnsi="仿宋" w:eastAsia="仿宋" w:cs="仿宋"/>
          <w:bCs/>
          <w:sz w:val="22"/>
          <w:szCs w:val="22"/>
        </w:rPr>
        <w:t xml:space="preserve">合同总金额：人民币（大写）： </w:t>
      </w:r>
      <w:r>
        <w:rPr>
          <w:rFonts w:hint="eastAsia" w:ascii="仿宋" w:hAnsi="仿宋" w:eastAsia="仿宋" w:cs="仿宋"/>
          <w:bCs/>
          <w:sz w:val="22"/>
          <w:szCs w:val="22"/>
          <w:u w:val="single"/>
        </w:rPr>
        <w:t xml:space="preserve">             </w:t>
      </w:r>
    </w:p>
    <w:p w14:paraId="65FB5A9F">
      <w:pPr>
        <w:adjustRightInd w:val="0"/>
        <w:snapToGrid w:val="0"/>
        <w:spacing w:line="360" w:lineRule="auto"/>
        <w:ind w:firstLine="3300" w:firstLineChars="1500"/>
        <w:rPr>
          <w:rFonts w:ascii="仿宋" w:hAnsi="仿宋" w:eastAsia="仿宋" w:cs="仿宋"/>
          <w:bCs/>
          <w:sz w:val="22"/>
          <w:szCs w:val="22"/>
          <w:u w:val="single"/>
        </w:rPr>
      </w:pPr>
      <w:r>
        <w:rPr>
          <w:rFonts w:hint="eastAsia" w:ascii="仿宋" w:hAnsi="仿宋" w:eastAsia="仿宋" w:cs="仿宋"/>
          <w:bCs/>
          <w:sz w:val="22"/>
          <w:szCs w:val="22"/>
        </w:rPr>
        <w:t>（小写）：</w:t>
      </w:r>
      <w:r>
        <w:rPr>
          <w:rFonts w:hint="eastAsia" w:ascii="仿宋" w:hAnsi="仿宋" w:eastAsia="仿宋" w:cs="仿宋"/>
          <w:bCs/>
          <w:sz w:val="22"/>
          <w:szCs w:val="22"/>
          <w:u w:val="single"/>
        </w:rPr>
        <w:t xml:space="preserve">               </w:t>
      </w:r>
    </w:p>
    <w:p w14:paraId="478C41EA">
      <w:pPr>
        <w:adjustRightInd w:val="0"/>
        <w:snapToGrid w:val="0"/>
        <w:spacing w:line="360" w:lineRule="auto"/>
        <w:ind w:firstLine="660" w:firstLineChars="300"/>
        <w:rPr>
          <w:rFonts w:ascii="仿宋" w:hAnsi="仿宋" w:eastAsia="仿宋" w:cs="仿宋"/>
          <w:b/>
          <w:sz w:val="22"/>
          <w:szCs w:val="22"/>
        </w:rPr>
      </w:pPr>
      <w:r>
        <w:rPr>
          <w:rFonts w:hint="eastAsia" w:ascii="仿宋" w:hAnsi="仿宋" w:eastAsia="仿宋" w:cs="仿宋"/>
          <w:bCs/>
          <w:sz w:val="22"/>
          <w:szCs w:val="22"/>
        </w:rPr>
        <w:t>具体明细清单详见附件1。</w:t>
      </w:r>
      <w:r>
        <w:rPr>
          <w:rFonts w:hint="eastAsia" w:ascii="仿宋" w:hAnsi="仿宋" w:eastAsia="仿宋" w:cs="仿宋"/>
          <w:b/>
          <w:sz w:val="22"/>
          <w:szCs w:val="22"/>
        </w:rPr>
        <w:t xml:space="preserve">      </w:t>
      </w:r>
    </w:p>
    <w:p w14:paraId="08520BD6">
      <w:pPr>
        <w:adjustRightInd w:val="0"/>
        <w:snapToGrid w:val="0"/>
        <w:spacing w:line="360" w:lineRule="auto"/>
        <w:ind w:firstLine="442" w:firstLineChars="200"/>
        <w:rPr>
          <w:rFonts w:ascii="仿宋" w:hAnsi="仿宋" w:eastAsia="仿宋" w:cs="仿宋"/>
          <w:b/>
          <w:sz w:val="22"/>
          <w:szCs w:val="22"/>
        </w:rPr>
      </w:pPr>
      <w:bookmarkStart w:id="3" w:name="_Toc9423"/>
      <w:bookmarkStart w:id="4" w:name="_Toc17336"/>
      <w:r>
        <w:rPr>
          <w:rFonts w:hint="eastAsia" w:ascii="仿宋" w:hAnsi="仿宋" w:eastAsia="仿宋" w:cs="仿宋"/>
          <w:b/>
          <w:sz w:val="22"/>
          <w:szCs w:val="22"/>
        </w:rPr>
        <w:t>第三条、付款方式</w:t>
      </w:r>
      <w:bookmarkEnd w:id="3"/>
      <w:bookmarkEnd w:id="4"/>
      <w:r>
        <w:rPr>
          <w:rFonts w:hint="eastAsia" w:ascii="仿宋" w:hAnsi="仿宋" w:eastAsia="仿宋" w:cs="仿宋"/>
          <w:b/>
          <w:sz w:val="22"/>
          <w:szCs w:val="22"/>
        </w:rPr>
        <w:t>及履约保证金</w:t>
      </w:r>
    </w:p>
    <w:p w14:paraId="6790C7EF">
      <w:pPr>
        <w:adjustRightInd w:val="0"/>
        <w:snapToGrid w:val="0"/>
        <w:spacing w:line="360" w:lineRule="auto"/>
        <w:ind w:firstLine="442" w:firstLineChars="200"/>
        <w:rPr>
          <w:rFonts w:ascii="仿宋_GB2312" w:hAnsi="仿宋_GB2312" w:eastAsia="仿宋_GB2312" w:cs="仿宋_GB2312"/>
          <w:highlight w:val="none"/>
        </w:rPr>
      </w:pPr>
      <w:r>
        <w:rPr>
          <w:rFonts w:hint="eastAsia" w:ascii="仿宋" w:hAnsi="仿宋" w:eastAsia="仿宋" w:cs="仿宋"/>
          <w:b/>
          <w:sz w:val="22"/>
          <w:szCs w:val="22"/>
        </w:rPr>
        <w:t>1、付款方式：</w:t>
      </w:r>
      <w:r>
        <w:rPr>
          <w:rFonts w:ascii="仿宋_GB2312" w:hAnsi="仿宋_GB2312" w:eastAsia="仿宋_GB2312" w:cs="仿宋_GB2312"/>
          <w:highlight w:val="none"/>
        </w:rPr>
        <w:t>合同签订后，</w:t>
      </w:r>
      <w:r>
        <w:rPr>
          <w:rFonts w:hint="eastAsia" w:ascii="仿宋_GB2312" w:hAnsi="仿宋_GB2312" w:eastAsia="仿宋_GB2312" w:cs="仿宋_GB2312"/>
          <w:highlight w:val="none"/>
        </w:rPr>
        <w:t>乙方提供配套车载智能巡检设备（含物联网流量卡5张，首年配置，每月150G）、无人机设备及机场后，</w:t>
      </w:r>
      <w:r>
        <w:rPr>
          <w:rFonts w:ascii="仿宋_GB2312" w:hAnsi="仿宋_GB2312" w:eastAsia="仿宋_GB2312" w:cs="仿宋_GB2312"/>
          <w:highlight w:val="none"/>
        </w:rPr>
        <w:t>达到付款条件起15个工作日内，支付合同总金额的40%。所有服务结束</w:t>
      </w:r>
      <w:r>
        <w:rPr>
          <w:rFonts w:hint="eastAsia" w:ascii="仿宋_GB2312" w:hAnsi="仿宋_GB2312" w:eastAsia="仿宋_GB2312" w:cs="仿宋_GB2312"/>
          <w:highlight w:val="none"/>
        </w:rPr>
        <w:t>，试运行</w:t>
      </w:r>
      <w:r>
        <w:rPr>
          <w:rFonts w:ascii="仿宋_GB2312" w:hAnsi="仿宋_GB2312" w:eastAsia="仿宋_GB2312" w:cs="仿宋_GB2312"/>
          <w:highlight w:val="none"/>
        </w:rPr>
        <w:t>15</w:t>
      </w:r>
      <w:r>
        <w:rPr>
          <w:rFonts w:hint="eastAsia" w:ascii="仿宋_GB2312" w:hAnsi="仿宋_GB2312" w:eastAsia="仿宋_GB2312" w:cs="仿宋_GB2312"/>
          <w:highlight w:val="none"/>
        </w:rPr>
        <w:t>天且无任何质量问题</w:t>
      </w:r>
      <w:r>
        <w:rPr>
          <w:rFonts w:ascii="仿宋_GB2312" w:hAnsi="仿宋_GB2312" w:eastAsia="仿宋_GB2312" w:cs="仿宋_GB2312"/>
          <w:highlight w:val="none"/>
        </w:rPr>
        <w:t>，经</w:t>
      </w:r>
      <w:r>
        <w:rPr>
          <w:rFonts w:hint="eastAsia" w:ascii="仿宋_GB2312" w:hAnsi="仿宋_GB2312" w:eastAsia="仿宋_GB2312" w:cs="仿宋_GB2312"/>
          <w:highlight w:val="none"/>
        </w:rPr>
        <w:t>甲方</w:t>
      </w:r>
      <w:r>
        <w:rPr>
          <w:rFonts w:ascii="仿宋_GB2312" w:hAnsi="仿宋_GB2312" w:eastAsia="仿宋_GB2312" w:cs="仿宋_GB2312"/>
          <w:highlight w:val="none"/>
        </w:rPr>
        <w:t>验收合格后，达到付款条件起15个工作日内，支付合同总金额的60%。</w:t>
      </w:r>
    </w:p>
    <w:p w14:paraId="65D05392">
      <w:pPr>
        <w:adjustRightInd w:val="0"/>
        <w:snapToGrid w:val="0"/>
        <w:spacing w:line="360" w:lineRule="auto"/>
        <w:ind w:firstLine="420" w:firstLineChars="200"/>
        <w:rPr>
          <w:rFonts w:ascii="仿宋_GB2312" w:hAnsi="仿宋_GB2312" w:eastAsia="仿宋_GB2312" w:cs="仿宋_GB2312"/>
          <w:highlight w:val="yellow"/>
        </w:rPr>
      </w:pPr>
      <w:r>
        <w:rPr>
          <w:rFonts w:hint="eastAsia" w:ascii="仿宋_GB2312" w:hAnsi="仿宋_GB2312" w:eastAsia="仿宋_GB2312" w:cs="仿宋_GB2312"/>
        </w:rPr>
        <w:t>2、</w:t>
      </w:r>
      <w:r>
        <w:rPr>
          <w:rFonts w:hint="eastAsia" w:ascii="仿宋_GB2312" w:hAnsi="仿宋_GB2312" w:eastAsia="仿宋_GB2312" w:cs="仿宋_GB2312"/>
          <w:b/>
          <w:bCs/>
        </w:rPr>
        <w:t>履约保证金</w:t>
      </w:r>
      <w:r>
        <w:rPr>
          <w:rFonts w:hint="eastAsia" w:ascii="仿宋_GB2312" w:hAnsi="仿宋_GB2312" w:eastAsia="仿宋_GB2312" w:cs="仿宋_GB2312"/>
        </w:rPr>
        <w:t>：本采购包履约保证金为合同金额的5%。合同签订后10个工作日内，中标人须向采购人缴纳合同金额5%的履约保证金，履约保证金以金融机构、担保机构出具的保函形式提交，服务期结束后保函10个工作日内退回供应商。</w:t>
      </w:r>
    </w:p>
    <w:p w14:paraId="7344C7A5">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第四条  产品的质量</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"http://set2.mail.qq.com/cgi-bin/mail_spam?action=check_link&amp;spam=0&amp;url=http%3A%2F%2Fwww%2Ebaidu%2Ecom%2Fs%3Fwd%3D%25E6%258A%2580%25E6%259C%25AF%25E6%25A0%2587%25E5%2587%2586%26hl_tag%3Dtextlink%26tn%3DSE_hldp01350_v6v6zkg6" </w:instrText>
      </w:r>
      <w:r>
        <w:rPr>
          <w:rFonts w:ascii="Calibri" w:hAnsi="Calibri" w:eastAsia="宋体" w:cs="Times New Roman"/>
        </w:rPr>
        <w:fldChar w:fldCharType="separate"/>
      </w:r>
      <w:r>
        <w:rPr>
          <w:rFonts w:hint="eastAsia" w:ascii="仿宋" w:hAnsi="仿宋" w:eastAsia="仿宋" w:cs="仿宋"/>
          <w:b/>
          <w:sz w:val="22"/>
          <w:szCs w:val="22"/>
        </w:rPr>
        <w:t>技术标准</w:t>
      </w:r>
      <w:r>
        <w:rPr>
          <w:rFonts w:hint="eastAsia" w:ascii="仿宋" w:hAnsi="仿宋" w:eastAsia="仿宋" w:cs="仿宋"/>
          <w:b/>
          <w:sz w:val="22"/>
          <w:szCs w:val="22"/>
        </w:rPr>
        <w:fldChar w:fldCharType="end"/>
      </w:r>
      <w:r>
        <w:rPr>
          <w:rFonts w:hint="eastAsia" w:ascii="仿宋" w:hAnsi="仿宋" w:eastAsia="仿宋" w:cs="仿宋"/>
          <w:b/>
          <w:sz w:val="22"/>
          <w:szCs w:val="22"/>
        </w:rPr>
        <w:t>、</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"http://set2.mail.qq.com/cgi-bin/mail_spam?action=check_link&amp;spam=0&amp;url=http%3A%2F%2Fwww%2Ebaidu%2Ecom%2Fs%3Fwd%3D%25E4%25B9%2599%25E6%2596%25B9%26hl_tag%3Dtextlink%26tn%3DSE_hldp01350_v6v6zkg6" </w:instrText>
      </w:r>
      <w:r>
        <w:rPr>
          <w:rFonts w:ascii="Calibri" w:hAnsi="Calibri" w:eastAsia="宋体" w:cs="Times New Roman"/>
        </w:rPr>
        <w:fldChar w:fldCharType="separate"/>
      </w:r>
      <w:r>
        <w:rPr>
          <w:rFonts w:hint="eastAsia" w:ascii="仿宋" w:hAnsi="仿宋" w:eastAsia="仿宋" w:cs="仿宋"/>
          <w:b/>
          <w:sz w:val="22"/>
          <w:szCs w:val="22"/>
        </w:rPr>
        <w:t>乙方</w:t>
      </w:r>
      <w:r>
        <w:rPr>
          <w:rFonts w:hint="eastAsia" w:ascii="仿宋" w:hAnsi="仿宋" w:eastAsia="仿宋" w:cs="仿宋"/>
          <w:b/>
          <w:sz w:val="22"/>
          <w:szCs w:val="22"/>
        </w:rPr>
        <w:fldChar w:fldCharType="end"/>
      </w:r>
      <w:r>
        <w:rPr>
          <w:rFonts w:hint="eastAsia" w:ascii="仿宋" w:hAnsi="仿宋" w:eastAsia="仿宋" w:cs="仿宋"/>
          <w:b/>
          <w:sz w:val="22"/>
          <w:szCs w:val="22"/>
        </w:rPr>
        <w:t>售后服务及</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"http://set2.mail.qq.com/cgi-bin/mail_spam?action=check_link&amp;spam=0&amp;url=http%3A%2F%2Fwww%2Ebaidu%2Ecom%2Fs%3Fwd%3D%25E6%258D%259F%25E5%25AE%25B3%25E8%25B5%2594%25E5%2581%25BF%26hl_tag%3Dtextlink%26tn%3DSE_hldp01350_v6v6zkg6" </w:instrText>
      </w:r>
      <w:r>
        <w:rPr>
          <w:rFonts w:ascii="Calibri" w:hAnsi="Calibri" w:eastAsia="宋体" w:cs="Times New Roman"/>
        </w:rPr>
        <w:fldChar w:fldCharType="separate"/>
      </w:r>
      <w:r>
        <w:rPr>
          <w:rFonts w:hint="eastAsia" w:ascii="仿宋" w:hAnsi="仿宋" w:eastAsia="仿宋" w:cs="仿宋"/>
          <w:b/>
          <w:sz w:val="22"/>
          <w:szCs w:val="22"/>
        </w:rPr>
        <w:t>损害赔偿</w:t>
      </w:r>
      <w:r>
        <w:rPr>
          <w:rFonts w:hint="eastAsia" w:ascii="仿宋" w:hAnsi="仿宋" w:eastAsia="仿宋" w:cs="仿宋"/>
          <w:b/>
          <w:sz w:val="22"/>
          <w:szCs w:val="22"/>
        </w:rPr>
        <w:fldChar w:fldCharType="end"/>
      </w:r>
    </w:p>
    <w:p w14:paraId="6E09FEF5">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1、产品的质量</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"http://set2.mail.qq.com/cgi-bin/mail_spam?action=check_link&amp;spam=0&amp;url=http%3A%2F%2Fwww%2Ebaidu%2Ecom%2Fs%3Fwd%3D%25E6%258A%2580%25E6%259C%25AF%25E6%25A0%2587%25E5%2587%2586%26hl_tag%3Dtextlink%26tn%3DSE_hldp01350_v6v6zkg6"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技术标准</w:t>
      </w:r>
      <w:r>
        <w:rPr>
          <w:rFonts w:hint="eastAsia" w:ascii="仿宋" w:hAnsi="仿宋" w:eastAsia="仿宋" w:cs="仿宋"/>
          <w:bCs/>
          <w:sz w:val="22"/>
          <w:szCs w:val="22"/>
        </w:rPr>
        <w:fldChar w:fldCharType="end"/>
      </w:r>
      <w:r>
        <w:rPr>
          <w:rFonts w:hint="eastAsia" w:ascii="仿宋" w:hAnsi="仿宋" w:eastAsia="仿宋" w:cs="仿宋"/>
          <w:bCs/>
          <w:sz w:val="22"/>
          <w:szCs w:val="22"/>
        </w:rPr>
        <w:t>按国家法律法规规定的合格标准、</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"http://set2.mail.qq.com/cgi-bin/mail_spam?action=check_link&amp;spam=0&amp;url=http%3A%2F%2Fwww%2Ebaidu%2Ecom%2Fs%3Fwd%3D%25E6%258B%259B%25E6%25A0%2587%25E6%2596%2587%25E4%25BB%25B6%26hl_tag%3Dtextlink%26tn%3DSE_hldp01350_v6v6zkg6"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磋商文件</w:t>
      </w:r>
      <w:r>
        <w:rPr>
          <w:rFonts w:hint="eastAsia" w:ascii="仿宋" w:hAnsi="仿宋" w:eastAsia="仿宋" w:cs="仿宋"/>
          <w:bCs/>
          <w:sz w:val="22"/>
          <w:szCs w:val="22"/>
        </w:rPr>
        <w:fldChar w:fldCharType="end"/>
      </w:r>
      <w:r>
        <w:rPr>
          <w:rFonts w:hint="eastAsia" w:ascii="仿宋" w:hAnsi="仿宋" w:eastAsia="仿宋" w:cs="仿宋"/>
          <w:bCs/>
          <w:sz w:val="22"/>
          <w:szCs w:val="22"/>
        </w:rPr>
        <w:t>要求的</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"http://set2.mail.qq.com/cgi-bin/mail_spam?action=check_link&amp;spam=0&amp;url=http%3A%2F%2Fwww%2Ebaidu%2Ecom%2Fs%3Fwd%3D%25E6%258A%2580%25E6%259C%25AF%25E6%25A0%2587%25E5%2587%2586%26hl_tag%3Dtextlink%26tn%3DSE_hldp01350_v6v6zkg6"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技术标准</w:t>
      </w:r>
      <w:r>
        <w:rPr>
          <w:rFonts w:hint="eastAsia" w:ascii="仿宋" w:hAnsi="仿宋" w:eastAsia="仿宋" w:cs="仿宋"/>
          <w:bCs/>
          <w:sz w:val="22"/>
          <w:szCs w:val="22"/>
        </w:rPr>
        <w:fldChar w:fldCharType="end"/>
      </w:r>
      <w:r>
        <w:rPr>
          <w:rFonts w:hint="eastAsia" w:ascii="仿宋" w:hAnsi="仿宋" w:eastAsia="仿宋" w:cs="仿宋"/>
          <w:bCs/>
          <w:sz w:val="22"/>
          <w:szCs w:val="22"/>
        </w:rPr>
        <w:t>执行。</w:t>
      </w:r>
    </w:p>
    <w:p w14:paraId="468508A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 xml:space="preserve">2、乙方自项目验收合格之日起提供 </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年质保。乙方承诺的质保时间超过磋商文件要求的，按其承诺提供时间质保服务。在质保期内，所有服务及配件全部免费。</w:t>
      </w:r>
    </w:p>
    <w:p w14:paraId="530D7F33">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3、乙方售后服务</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"http://set2.mail.qq.com/cgi-bin/mail_spam?action=check_link&amp;spam=0&amp;url=http%3A%2F%2Fwww%2Ebaidu%2Ecom%2Fs%3Fwd%3D%25E5%2593%258D%25E5%25BA%2594%25E6%2597%25B6%25E9%2597%25B4%26hl_tag%3Dtextlink%26tn%3DSE_hldp01350_v6v6zkg6"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响应时间</w:t>
      </w:r>
      <w:r>
        <w:rPr>
          <w:rFonts w:hint="eastAsia" w:ascii="仿宋" w:hAnsi="仿宋" w:eastAsia="仿宋" w:cs="仿宋"/>
          <w:bCs/>
          <w:sz w:val="22"/>
          <w:szCs w:val="22"/>
        </w:rPr>
        <w:fldChar w:fldCharType="end"/>
      </w:r>
      <w:r>
        <w:rPr>
          <w:rFonts w:hint="eastAsia" w:ascii="仿宋" w:hAnsi="仿宋" w:eastAsia="仿宋" w:cs="仿宋"/>
          <w:bCs/>
          <w:sz w:val="22"/>
          <w:szCs w:val="22"/>
        </w:rPr>
        <w:t>：项目运行过程中出现的应用软件问题，提供7×24小时技术支持热线及远程技术支持服务，系统故障须在2小时内响应，4小时内提供解决方案，重大问题须在24小时内到达现场处理；巡检设备故障须在48小时内完成维修或更换，如乙方在接到通知工作日的24小时内没有答复和处理问题，则视为乙方承认质量问题并承担由此而发生的一切费用。质保期间产品的一切质量问题，更换部件及产品本身质量问题原因造成的直接经济损失应全部由乙方自行负责。</w:t>
      </w:r>
    </w:p>
    <w:p w14:paraId="0389519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 xml:space="preserve"> 4、如因乙方提供设备或服务质量问题等原因，导致甲方或其他第三方遭受损失，乙方应予以赔偿。</w:t>
      </w:r>
    </w:p>
    <w:p w14:paraId="1014D8EE">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第五条  软件系统服务</w:t>
      </w:r>
    </w:p>
    <w:p w14:paraId="6A212494">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1、乙方应随时为甲方以电话、传真、电子邮件方式免费提供所买产品的服务与技术支持维护，通常系统平台故障，提供实时响应解决。</w:t>
      </w:r>
    </w:p>
    <w:p w14:paraId="020A315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2、乙方对软件系统平台提供终身技术支持。</w:t>
      </w:r>
    </w:p>
    <w:p w14:paraId="43D7EB7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3、自安装试用之日起一个月内，如遇甲方要求的不影响软件产品界面统一性、通用性而作的必要的更改，乙方免费提供修改支持。</w:t>
      </w:r>
    </w:p>
    <w:p w14:paraId="710D7A57">
      <w:pPr>
        <w:adjustRightInd w:val="0"/>
        <w:snapToGrid w:val="0"/>
        <w:spacing w:line="360" w:lineRule="auto"/>
        <w:ind w:firstLine="440" w:firstLineChars="200"/>
        <w:rPr>
          <w:rFonts w:ascii="仿宋" w:hAnsi="仿宋" w:eastAsia="仿宋" w:cs="仿宋"/>
          <w:b/>
          <w:sz w:val="22"/>
          <w:szCs w:val="22"/>
        </w:rPr>
      </w:pPr>
      <w:r>
        <w:rPr>
          <w:rFonts w:hint="eastAsia" w:ascii="仿宋" w:hAnsi="仿宋" w:eastAsia="仿宋" w:cs="仿宋"/>
          <w:bCs/>
          <w:sz w:val="22"/>
          <w:szCs w:val="22"/>
        </w:rPr>
        <w:t>4、由乙方对甲方操作人员提供培训计划，并在合同签订后实施。承担所有培训费用（含培训教材费、交通费、食宿费等）。</w:t>
      </w:r>
    </w:p>
    <w:p w14:paraId="7ADC232C">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第六条  交付、领受与测试</w:t>
      </w:r>
    </w:p>
    <w:p w14:paraId="02BF0D9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1、乙方在交付前应根据本合同、磋商文件等要求对该交付内容进行测试，以确认其符合本合同的规定。</w:t>
      </w:r>
    </w:p>
    <w:p w14:paraId="580E3B9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2、交付内容包括但不限于安装盘、文档、用户指南、操作手册、安装指南和测试报告等，所交付的文档与文件应当是电子版或可供人阅读的。</w:t>
      </w:r>
    </w:p>
    <w:p w14:paraId="14165286">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3、甲方在领受上述的交付内容后，应立即对软硬件进行测试和评估，以确认其是否符合本次采购活动的功能和规格，测试合格的，甲方应书面签收；如有缺陷或不合格的，甲方应递交缺陷说明及指明应改进的部分，乙方应立即纠正该缺陷，并再次进行测试和评估，且因此造成的迟延交付应当承担违约责任。</w:t>
      </w:r>
    </w:p>
    <w:p w14:paraId="37F9C4F6">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第七条、试运行</w:t>
      </w:r>
    </w:p>
    <w:p w14:paraId="5C54D16A">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1、试运行的期限为</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天，自甲方向乙方签收之日起计算。</w:t>
      </w:r>
    </w:p>
    <w:p w14:paraId="788D92D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2、在试运行期间，系统由甲方使用、保管，但除合同规定的原因及硬件故障原因之外，乙方应对系统的正常运行负责，保证立即对影响到使用功能的软件缺陷进行修改。</w:t>
      </w:r>
    </w:p>
    <w:p w14:paraId="06747BE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3、所有试运行期间软件系统变化乙方应在试运行结束后写入相应的软件文档中。</w:t>
      </w:r>
    </w:p>
    <w:p w14:paraId="60D7AD90">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第八条  乙方保证</w:t>
      </w:r>
    </w:p>
    <w:p w14:paraId="3682B0B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1、保证本次新建系统与甲方现有系统平台无缝对接。</w:t>
      </w:r>
    </w:p>
    <w:p w14:paraId="24B71DA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2、保证履行本合同项下的义务。授予甲方的许可权没有受到任何第三方的约束或限制，也没有承担任何约束或限制性义务。</w:t>
      </w:r>
    </w:p>
    <w:p w14:paraId="05037E1A">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3、保证本软件系统或其授予的权利不会侵犯任何第三人的知识产权或其他权利，也没有其他针对乙方拥有本软件权利的未决诉讼，或甲方行使乙方所授予的软件权利会侵犯任何第三人的合法权利。</w:t>
      </w:r>
    </w:p>
    <w:p w14:paraId="5C1E0DF6">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4、保证在所交付的软件系统中，不含任何可以自动终止或妨碍系统运作的软件。</w:t>
      </w:r>
    </w:p>
    <w:p w14:paraId="6F505D5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5、如乙方所交付和许可甲方使用的软件系统需经国家有关部门登记、备案、审批或许可的，乙方应保证所提供的软件系统已完成了上述手续。</w:t>
      </w:r>
    </w:p>
    <w:p w14:paraId="78E7879B">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6、乙方保证所有设备质量必须符合国家有关规范和相关政策。所有辅材必须是未使用过的新产品，质量优良、渠道正当，配置合理。</w:t>
      </w:r>
    </w:p>
    <w:p w14:paraId="03ABB4E8">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第九条  服务期限、交付及验收</w:t>
      </w:r>
    </w:p>
    <w:p w14:paraId="5AFBA694">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
          <w:sz w:val="22"/>
          <w:szCs w:val="22"/>
        </w:rPr>
        <w:t>服务期限</w:t>
      </w:r>
      <w:r>
        <w:rPr>
          <w:rFonts w:hint="eastAsia" w:ascii="仿宋" w:hAnsi="仿宋" w:eastAsia="仿宋" w:cs="仿宋"/>
          <w:bCs/>
          <w:sz w:val="22"/>
          <w:szCs w:val="22"/>
        </w:rPr>
        <w:t>（含安装调试）：</w:t>
      </w:r>
    </w:p>
    <w:p w14:paraId="11B8F700">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2、交付地点：甲方指定地点</w:t>
      </w:r>
    </w:p>
    <w:p w14:paraId="1D44D082">
      <w:pPr>
        <w:adjustRightInd w:val="0"/>
        <w:snapToGrid w:val="0"/>
        <w:spacing w:line="360" w:lineRule="auto"/>
        <w:ind w:firstLine="442" w:firstLineChars="200"/>
        <w:rPr>
          <w:rFonts w:ascii="仿宋" w:hAnsi="仿宋" w:eastAsia="仿宋" w:cs="仿宋"/>
          <w:b/>
          <w:sz w:val="22"/>
          <w:szCs w:val="22"/>
        </w:rPr>
      </w:pPr>
      <w:r>
        <w:rPr>
          <w:rFonts w:hint="eastAsia" w:ascii="仿宋" w:hAnsi="仿宋" w:eastAsia="仿宋" w:cs="仿宋"/>
          <w:b/>
          <w:sz w:val="22"/>
          <w:szCs w:val="22"/>
        </w:rPr>
        <w:t>3、验收标准</w:t>
      </w:r>
    </w:p>
    <w:p w14:paraId="7E4ED0D7">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（1）应有系统安装部署手册、管理员手册、用户操作手册；系统测试报告；培训记录及培训资料；硬件设备清单、使用说明书；保修证明、易损件备件、专用工具清单以及其他应具有的单证。</w:t>
      </w:r>
    </w:p>
    <w:p w14:paraId="0FAB594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（2）软件试运行完成后，甲方应及时按规定对该软件进行系统验收并出具验收报告，具体验收时间由双方协商。</w:t>
      </w:r>
    </w:p>
    <w:p w14:paraId="170341FA">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（3）如属于非甲方的原因致使软件未通过系统验收，乙方应排除故障，并承担相关费用，同时延长试运行期限5个工作日，直至软件系统完全符合验收标准。</w:t>
      </w:r>
    </w:p>
    <w:p w14:paraId="477F150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（4）经验收合格后，软件系统达到相关要求，甲乙双方应签署验收报告。</w:t>
      </w:r>
    </w:p>
    <w:p w14:paraId="5E699F5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（5）质量符合国家法律法规规定的合格标准、磋商文件、响应文件的要求。</w:t>
      </w:r>
    </w:p>
    <w:p w14:paraId="49FE750D">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（6）当双方对验收标准有争议时，可委托双方一致认可的国家相关权威检测中心进行检测，费用由责任方承担。</w:t>
      </w:r>
    </w:p>
    <w:p w14:paraId="2B4EAA7D">
      <w:pPr>
        <w:adjustRightInd w:val="0"/>
        <w:snapToGrid w:val="0"/>
        <w:spacing w:line="360" w:lineRule="auto"/>
        <w:ind w:firstLine="442" w:firstLineChars="200"/>
        <w:rPr>
          <w:rFonts w:ascii="仿宋" w:hAnsi="仿宋" w:eastAsia="仿宋" w:cs="仿宋"/>
          <w:b/>
          <w:sz w:val="22"/>
          <w:szCs w:val="22"/>
        </w:rPr>
      </w:pPr>
      <w:bookmarkStart w:id="5" w:name="_Toc6682"/>
      <w:r>
        <w:rPr>
          <w:rFonts w:hint="eastAsia" w:ascii="仿宋" w:hAnsi="仿宋" w:eastAsia="仿宋" w:cs="仿宋"/>
          <w:b/>
          <w:sz w:val="22"/>
          <w:szCs w:val="22"/>
        </w:rPr>
        <w:t>第十条、甲方的权利和义务</w:t>
      </w:r>
      <w:bookmarkEnd w:id="5"/>
    </w:p>
    <w:p w14:paraId="74D06901">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1、甲方有权监督乙方工作执行情况；</w:t>
      </w:r>
    </w:p>
    <w:p w14:paraId="79EFFA6B">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2、甲方有权向乙方提出合理化建议，乙方应予以采纳；</w:t>
      </w:r>
    </w:p>
    <w:p w14:paraId="25A3974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甲方有权对乙方的质量、进度、产品、设备、安全等情况进行安全监督检查，如乙方未达到标准或出现不合格情况，甲方有权要求乙方进行整改和完善。逾期未整改的，甲方有权按照甲方相关规定对乙方进行经济处罚；</w:t>
      </w:r>
    </w:p>
    <w:p w14:paraId="6D9F756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4、甲方有权要求乙方人员遵守甲方的规章制度，并对甲方相关信息资料进行保密；</w:t>
      </w:r>
    </w:p>
    <w:p w14:paraId="386FC895">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5、甲方有权对乙方配备的人员进行审核，乙方如更换工作人员，应征得甲方同意后更换；</w:t>
      </w:r>
    </w:p>
    <w:p w14:paraId="59DD92C8">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6、甲方应按合同约定及时向乙方支付服务费用。</w:t>
      </w:r>
    </w:p>
    <w:p w14:paraId="7CB1D23F">
      <w:pPr>
        <w:adjustRightInd w:val="0"/>
        <w:snapToGrid w:val="0"/>
        <w:spacing w:line="360" w:lineRule="auto"/>
        <w:ind w:firstLine="442" w:firstLineChars="200"/>
        <w:rPr>
          <w:rFonts w:ascii="仿宋" w:hAnsi="仿宋" w:eastAsia="仿宋" w:cs="仿宋"/>
          <w:b/>
          <w:sz w:val="22"/>
          <w:szCs w:val="22"/>
        </w:rPr>
      </w:pPr>
      <w:bookmarkStart w:id="6" w:name="_Toc11739"/>
      <w:bookmarkStart w:id="7" w:name="_Toc11921"/>
      <w:r>
        <w:rPr>
          <w:rFonts w:hint="eastAsia" w:ascii="仿宋" w:hAnsi="仿宋" w:eastAsia="仿宋" w:cs="仿宋"/>
          <w:b/>
          <w:sz w:val="22"/>
          <w:szCs w:val="22"/>
        </w:rPr>
        <w:t>第十一条、乙方的权利和义务</w:t>
      </w:r>
      <w:bookmarkEnd w:id="6"/>
      <w:bookmarkEnd w:id="7"/>
    </w:p>
    <w:p w14:paraId="4685DA1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1、建立健全岗位责任制度和管理制度等体系,并加强对人员的管理；</w:t>
      </w:r>
    </w:p>
    <w:p w14:paraId="136FC4A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2、认真完成甲方规定的服务，确保质量，达到甲方满意；</w:t>
      </w:r>
    </w:p>
    <w:p w14:paraId="711249C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3、乙方工作人员须经专业培训和具有专业知识人员承担；</w:t>
      </w:r>
    </w:p>
    <w:p w14:paraId="34D1C9FB">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4、乙方所指派的项目负责人，在合同履行中未经甲方同意不得擅自更换他人。</w:t>
      </w:r>
    </w:p>
    <w:p w14:paraId="17A960F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项目负责人：</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，联系电话：</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，身份证号：</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B962F1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5、如因乙方原因，对甲方造成经济损失或不良社会影响，乙方负责消除不良影响并自行承担由此发生的费用，甲方有权视情况终止合同，乙方有义务承担赔偿责任。</w:t>
      </w:r>
    </w:p>
    <w:p w14:paraId="10C31FC1">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6、乙方要在甲方的指导下完成项目档案资料的整理、装订、编码等工作。甲方负责对乙方提供的文件、数据、技术文档等进行验收，如文档资料不符合甲方要求，乙方应在三日内予以解决。</w:t>
      </w:r>
    </w:p>
    <w:p w14:paraId="22DB194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7、若乙方软件系统存在缺陷、技术资料有误、现场技术人员指导有误等情形致使系统不能达到合同约定指标和技术性能，乙方应负责按本合同约定更换或修改，使系统运行指标和技术性能达到合同约定。在运维服务期内发现服务质量缺陷的，乙方应当负责返工或者采取补救措施。</w:t>
      </w:r>
    </w:p>
    <w:p w14:paraId="262DA9B0">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8、如果属于乙方原因致使未通过验收，乙方应排除故障，并自行承担相关费用，直至本项目完全符合验收标准，超过两次未通过验收，甲方有权终止合同，同时按违约与责任中的约定处理。</w:t>
      </w:r>
    </w:p>
    <w:p w14:paraId="78B94F75">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9、乙方在运维服务期内有义务对平台软件的现有功能模块进行优化调整、接口升级，对平台软件进行定期升级、巡检等服务。</w:t>
      </w:r>
    </w:p>
    <w:p w14:paraId="1EC81AB4">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10、接受甲方的管理、监督、检查，对甲方发出的整改通知，应及时按甲方的要求进行整改。乙方无正当理由拒绝整改时，甲方可以另行委托他人予以整改，所发生的费用由乙方承担。</w:t>
      </w:r>
    </w:p>
    <w:p w14:paraId="3127DE1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11、乙方所提供服务不符合国家法律法规和合同规定的，甲方有权拒收，并由乙方承担一切费用和责任。</w:t>
      </w:r>
    </w:p>
    <w:p w14:paraId="422D22D0">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12、保证本软件系统或其授予的权利不会侵犯任何第三人的知识产权或其他权利，也没有其他针对乙方拥有本软件权利的未决诉讼，或甲方行使乙方所授予的软件权利会侵犯任何第三人的合法权利，</w:t>
      </w:r>
      <w:r>
        <w:rPr>
          <w:rFonts w:hint="eastAsia" w:ascii="仿宋" w:hAnsi="仿宋" w:eastAsia="仿宋" w:cs="仿宋"/>
          <w:bCs/>
          <w:sz w:val="22"/>
          <w:szCs w:val="22"/>
          <w:lang w:eastAsia="zh-Hans"/>
        </w:rPr>
        <w:t>否则应当承担因此给甲方造成的全部损失</w:t>
      </w:r>
      <w:r>
        <w:rPr>
          <w:rFonts w:hint="eastAsia" w:ascii="仿宋" w:hAnsi="仿宋" w:eastAsia="仿宋" w:cs="仿宋"/>
          <w:bCs/>
          <w:sz w:val="22"/>
          <w:szCs w:val="22"/>
        </w:rPr>
        <w:t>。</w:t>
      </w:r>
    </w:p>
    <w:p w14:paraId="4AB23ED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13、乙方应保证在所交付的软件系统中，不含任何可以自动终止或妨碍系统运作的软件。</w:t>
      </w:r>
    </w:p>
    <w:p w14:paraId="438EA7B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14、如乙方所交付和许可甲方使用的软件系统需经国家有关部门登记、备案、审批或许可的，乙方应保证所提供的软件系统已完成了上述手续。</w:t>
      </w:r>
    </w:p>
    <w:p w14:paraId="0486A79C">
      <w:pPr>
        <w:adjustRightInd w:val="0"/>
        <w:snapToGrid w:val="0"/>
        <w:spacing w:line="360" w:lineRule="auto"/>
        <w:ind w:firstLine="440" w:firstLineChars="200"/>
        <w:rPr>
          <w:rFonts w:ascii="仿宋" w:hAnsi="仿宋" w:eastAsia="仿宋" w:cs="仿宋"/>
          <w:bCs/>
          <w:sz w:val="22"/>
          <w:szCs w:val="22"/>
          <w:highlight w:val="yellow"/>
        </w:rPr>
      </w:pPr>
      <w:r>
        <w:rPr>
          <w:rFonts w:hint="eastAsia" w:ascii="仿宋" w:hAnsi="仿宋" w:eastAsia="仿宋" w:cs="仿宋"/>
          <w:bCs/>
          <w:sz w:val="22"/>
          <w:szCs w:val="22"/>
        </w:rPr>
        <w:t>15、乙方在履行本合同的过程中，应采取严格的安全防范措施。对于服务过程中发生的一切人身伤亡事故及其他损害，由乙方自行承担所有责任。若造成甲方因此而承担有关法律责任，乙方除应赔偿因此造成的一切损失外，甲方有权单方面解除本合同。</w:t>
      </w:r>
    </w:p>
    <w:p w14:paraId="2528C124">
      <w:pPr>
        <w:adjustRightInd w:val="0"/>
        <w:snapToGrid w:val="0"/>
        <w:spacing w:line="360" w:lineRule="auto"/>
        <w:ind w:firstLine="442" w:firstLineChars="200"/>
        <w:rPr>
          <w:rFonts w:ascii="仿宋" w:hAnsi="仿宋" w:eastAsia="仿宋" w:cs="仿宋"/>
          <w:b/>
          <w:sz w:val="22"/>
          <w:szCs w:val="22"/>
        </w:rPr>
      </w:pPr>
      <w:bookmarkStart w:id="8" w:name="_Toc16159"/>
      <w:bookmarkStart w:id="9" w:name="_Toc5168"/>
      <w:r>
        <w:rPr>
          <w:rFonts w:hint="eastAsia" w:ascii="仿宋" w:hAnsi="仿宋" w:eastAsia="仿宋" w:cs="仿宋"/>
          <w:b/>
          <w:sz w:val="22"/>
          <w:szCs w:val="22"/>
        </w:rPr>
        <w:t>第十二条  甲乙双方的违约责任</w:t>
      </w:r>
      <w:bookmarkEnd w:id="8"/>
      <w:bookmarkEnd w:id="9"/>
    </w:p>
    <w:p w14:paraId="2DEF43A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1、甲方逾期付款的，每逾期1日，</w:t>
      </w:r>
      <w:r>
        <w:rPr>
          <w:rFonts w:hint="eastAsia" w:ascii="仿宋" w:hAnsi="仿宋" w:eastAsia="仿宋" w:cs="仿宋"/>
          <w:bCs/>
          <w:sz w:val="22"/>
          <w:szCs w:val="22"/>
          <w:lang w:eastAsia="zh-Hans"/>
        </w:rPr>
        <w:t>应付未付价格的万分之一</w:t>
      </w:r>
      <w:r>
        <w:rPr>
          <w:rFonts w:hint="eastAsia" w:ascii="仿宋" w:hAnsi="仿宋" w:eastAsia="仿宋" w:cs="仿宋"/>
          <w:bCs/>
          <w:sz w:val="22"/>
          <w:szCs w:val="22"/>
        </w:rPr>
        <w:t>向乙方偿付逾期付款的违约金；</w:t>
      </w:r>
    </w:p>
    <w:p w14:paraId="2FC2F326">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2、甲方违反合同规定拒绝验收的，应当承担由此对乙方造成的损失。</w:t>
      </w:r>
    </w:p>
    <w:p w14:paraId="2B0C304F">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3、乙方不能按期交付的，每逾期1日，乙方应向甲方赔付合同总价的1%作为违约金。</w:t>
      </w:r>
    </w:p>
    <w:p w14:paraId="3222218F">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4、乙方所交产品不符合国家法律法规和合同规定的，甲方有权拒收，并由乙方承担一切费用。</w:t>
      </w:r>
    </w:p>
    <w:p w14:paraId="6D15FE70">
      <w:pPr>
        <w:adjustRightInd w:val="0"/>
        <w:snapToGrid w:val="0"/>
        <w:spacing w:line="360" w:lineRule="auto"/>
        <w:ind w:firstLine="442" w:firstLineChars="200"/>
        <w:rPr>
          <w:rFonts w:ascii="仿宋" w:hAnsi="仿宋" w:eastAsia="仿宋" w:cs="仿宋"/>
          <w:b/>
          <w:sz w:val="22"/>
          <w:szCs w:val="22"/>
        </w:rPr>
      </w:pPr>
      <w:bookmarkStart w:id="10" w:name="_Toc22997"/>
      <w:bookmarkStart w:id="11" w:name="_Toc15299"/>
      <w:r>
        <w:rPr>
          <w:rFonts w:hint="eastAsia" w:ascii="仿宋" w:hAnsi="仿宋" w:eastAsia="仿宋" w:cs="仿宋"/>
          <w:b/>
          <w:sz w:val="22"/>
          <w:szCs w:val="22"/>
        </w:rPr>
        <w:t>第十三条、合同变更与终止</w:t>
      </w:r>
      <w:bookmarkEnd w:id="10"/>
      <w:bookmarkEnd w:id="11"/>
    </w:p>
    <w:p w14:paraId="119E540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1、合同期间任何一方不得随意变更、终止合同。</w:t>
      </w:r>
    </w:p>
    <w:p w14:paraId="38AE19CF">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2、本合同规定全部义务的履行期限届满，合同自动终止。</w:t>
      </w:r>
    </w:p>
    <w:p w14:paraId="0A353CE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3、因双方机构撤并、职能调整等原因，确需终止合同的，双方可协商终止合同。</w:t>
      </w:r>
    </w:p>
    <w:p w14:paraId="67E0B5C2">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4、乙方应自觉遵守甲方工作纪律、规章制度，服从甲方管理。因乙方原因给甲方造成严重后果，甲方可以单方面解除合同。</w:t>
      </w:r>
    </w:p>
    <w:p w14:paraId="57063769">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5、合同继续履行将损害国家利益和社会公共利益的，双方应当变更或者终止合同，但变更的内容不得对招标文件确定的事项和中标投标文件作实质性修改，有过错的一方应当承担赔偿责任，双方都有过错的，各自承担相应的责任。</w:t>
      </w:r>
    </w:p>
    <w:p w14:paraId="0A1EA616">
      <w:pPr>
        <w:adjustRightInd w:val="0"/>
        <w:snapToGrid w:val="0"/>
        <w:spacing w:line="360" w:lineRule="auto"/>
        <w:ind w:firstLine="442" w:firstLineChars="200"/>
        <w:rPr>
          <w:rFonts w:ascii="仿宋" w:hAnsi="仿宋" w:eastAsia="仿宋" w:cs="仿宋"/>
          <w:b/>
          <w:sz w:val="22"/>
          <w:szCs w:val="22"/>
        </w:rPr>
      </w:pPr>
      <w:bookmarkStart w:id="12" w:name="_Toc18084"/>
      <w:bookmarkStart w:id="13" w:name="_Toc31450"/>
      <w:r>
        <w:rPr>
          <w:rFonts w:hint="eastAsia" w:ascii="仿宋" w:hAnsi="仿宋" w:eastAsia="仿宋" w:cs="仿宋"/>
          <w:b/>
          <w:sz w:val="22"/>
          <w:szCs w:val="22"/>
        </w:rPr>
        <w:t>第十四条、保密约定</w:t>
      </w:r>
      <w:bookmarkEnd w:id="12"/>
      <w:bookmarkEnd w:id="13"/>
    </w:p>
    <w:p w14:paraId="5F6CB66C">
      <w:pPr>
        <w:adjustRightInd w:val="0"/>
        <w:snapToGrid w:val="0"/>
        <w:spacing w:line="360" w:lineRule="auto"/>
        <w:ind w:firstLine="440" w:firstLineChars="200"/>
        <w:rPr>
          <w:rFonts w:ascii="仿宋" w:hAnsi="仿宋" w:eastAsia="仿宋" w:cs="仿宋"/>
          <w:bCs/>
          <w:sz w:val="22"/>
          <w:szCs w:val="22"/>
          <w:lang w:eastAsia="zh-Hans"/>
        </w:rPr>
      </w:pPr>
      <w:r>
        <w:rPr>
          <w:rFonts w:hint="eastAsia" w:ascii="仿宋" w:hAnsi="仿宋" w:eastAsia="仿宋" w:cs="仿宋"/>
          <w:bCs/>
          <w:sz w:val="22"/>
          <w:szCs w:val="22"/>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r>
        <w:rPr>
          <w:rFonts w:hint="eastAsia" w:ascii="仿宋" w:hAnsi="仿宋" w:eastAsia="仿宋" w:cs="仿宋"/>
          <w:bCs/>
          <w:sz w:val="22"/>
          <w:szCs w:val="22"/>
          <w:lang w:eastAsia="zh-Hans"/>
        </w:rPr>
        <w:t>该保密条款长期有效，不因协议终止而无效。</w:t>
      </w:r>
    </w:p>
    <w:p w14:paraId="51C4ECAA">
      <w:pPr>
        <w:adjustRightInd w:val="0"/>
        <w:snapToGrid w:val="0"/>
        <w:spacing w:line="360" w:lineRule="auto"/>
        <w:ind w:firstLine="442" w:firstLineChars="200"/>
        <w:rPr>
          <w:rFonts w:ascii="仿宋" w:hAnsi="仿宋" w:eastAsia="仿宋" w:cs="仿宋"/>
          <w:b/>
          <w:sz w:val="22"/>
          <w:szCs w:val="22"/>
          <w:lang w:eastAsia="zh-Hans"/>
        </w:rPr>
      </w:pPr>
      <w:r>
        <w:rPr>
          <w:rFonts w:hint="eastAsia" w:ascii="仿宋" w:hAnsi="仿宋" w:eastAsia="仿宋" w:cs="仿宋"/>
          <w:b/>
          <w:sz w:val="22"/>
          <w:szCs w:val="22"/>
        </w:rPr>
        <w:t xml:space="preserve">第十五条  </w:t>
      </w:r>
      <w:r>
        <w:rPr>
          <w:rFonts w:hint="eastAsia" w:ascii="仿宋" w:hAnsi="仿宋" w:eastAsia="仿宋" w:cs="仿宋"/>
          <w:b/>
          <w:sz w:val="22"/>
          <w:szCs w:val="22"/>
          <w:lang w:eastAsia="zh-Hans"/>
        </w:rPr>
        <w:t>通知与送达</w:t>
      </w:r>
    </w:p>
    <w:p w14:paraId="7E73FAEC">
      <w:pPr>
        <w:adjustRightInd w:val="0"/>
        <w:snapToGrid w:val="0"/>
        <w:spacing w:line="360" w:lineRule="auto"/>
        <w:ind w:firstLine="440" w:firstLineChars="200"/>
        <w:rPr>
          <w:rFonts w:ascii="仿宋" w:hAnsi="仿宋" w:eastAsia="仿宋" w:cs="仿宋"/>
          <w:bCs/>
          <w:sz w:val="22"/>
          <w:szCs w:val="22"/>
          <w:lang w:eastAsia="zh-Hans"/>
        </w:rPr>
      </w:pPr>
      <w:r>
        <w:rPr>
          <w:rFonts w:hint="eastAsia" w:ascii="仿宋" w:hAnsi="仿宋" w:eastAsia="仿宋" w:cs="仿宋"/>
          <w:bCs/>
          <w:sz w:val="22"/>
          <w:szCs w:val="22"/>
          <w:lang w:eastAsia="zh-Hans"/>
        </w:rPr>
        <w:t>1、甲乙双方确认以本协议签署页的信息为双方确定的在履行本协议过程中的通知与送达地址，（1）若当面递送：以收件方签收时间为送达时间；（2）若以EMS特快专递或挂号形式递送：对方签收之日为送达之日，若对方拒收，则以文书退回之日视为有效送达之日；（3）若以电子邮件、短信、微信等方式递送：以留存在发送方电子设备当中的发送成功记录时间为送达时间；（4）如采取多种方式送达的，送达时间以最早的送达为准。</w:t>
      </w:r>
    </w:p>
    <w:p w14:paraId="3EB3FA62">
      <w:pPr>
        <w:adjustRightInd w:val="0"/>
        <w:snapToGrid w:val="0"/>
        <w:spacing w:line="360" w:lineRule="auto"/>
        <w:ind w:firstLine="440" w:firstLineChars="200"/>
        <w:rPr>
          <w:rFonts w:ascii="仿宋" w:hAnsi="仿宋" w:eastAsia="仿宋" w:cs="仿宋"/>
          <w:bCs/>
          <w:sz w:val="22"/>
          <w:szCs w:val="22"/>
          <w:lang w:eastAsia="zh-Hans"/>
        </w:rPr>
      </w:pPr>
      <w:r>
        <w:rPr>
          <w:rFonts w:hint="eastAsia" w:ascii="仿宋" w:hAnsi="仿宋" w:eastAsia="仿宋" w:cs="仿宋"/>
          <w:bCs/>
          <w:sz w:val="22"/>
          <w:szCs w:val="22"/>
          <w:lang w:eastAsia="zh-Hans"/>
        </w:rPr>
        <w:t>2、一方更换送达信息的，应当提前10日告知另一方，否则由此造成的影响或损失应由变更一方承担。</w:t>
      </w:r>
    </w:p>
    <w:p w14:paraId="2E5940CE">
      <w:pPr>
        <w:adjustRightInd w:val="0"/>
        <w:snapToGrid w:val="0"/>
        <w:spacing w:line="360" w:lineRule="auto"/>
        <w:ind w:firstLine="442" w:firstLineChars="200"/>
        <w:rPr>
          <w:rFonts w:ascii="仿宋" w:hAnsi="仿宋" w:eastAsia="仿宋" w:cs="仿宋"/>
          <w:b/>
          <w:sz w:val="22"/>
          <w:szCs w:val="22"/>
        </w:rPr>
      </w:pPr>
      <w:bookmarkStart w:id="14" w:name="_Toc7871"/>
      <w:bookmarkStart w:id="15" w:name="_Toc4080"/>
      <w:r>
        <w:rPr>
          <w:rFonts w:hint="eastAsia" w:ascii="仿宋" w:hAnsi="仿宋" w:eastAsia="仿宋" w:cs="仿宋"/>
          <w:b/>
          <w:sz w:val="22"/>
          <w:szCs w:val="22"/>
        </w:rPr>
        <w:t xml:space="preserve">第十六条  </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"http://set2.mail.qq.com/cgi-bin/mail_spam?action=check_link&amp;spam=0&amp;url=http%3A%2F%2Fwww%2Ebaidu%2Ecom%2Fs%3Fwd%3D%25E4%25B8%258D%25E5%258F%25AF%25E6%258A%2597%25E5%258A%259B%26hl_tag%3Dtextlink%26tn%3DSE_hldp01350_v6v6zkg6" </w:instrText>
      </w:r>
      <w:r>
        <w:rPr>
          <w:rFonts w:ascii="Calibri" w:hAnsi="Calibri" w:eastAsia="宋体" w:cs="Times New Roman"/>
        </w:rPr>
        <w:fldChar w:fldCharType="separate"/>
      </w:r>
      <w:r>
        <w:rPr>
          <w:rFonts w:hint="eastAsia" w:ascii="仿宋" w:hAnsi="仿宋" w:eastAsia="仿宋" w:cs="仿宋"/>
          <w:b/>
          <w:sz w:val="22"/>
          <w:szCs w:val="22"/>
        </w:rPr>
        <w:t>不可抗力</w:t>
      </w:r>
      <w:r>
        <w:rPr>
          <w:rFonts w:hint="eastAsia" w:ascii="仿宋" w:hAnsi="仿宋" w:eastAsia="仿宋" w:cs="仿宋"/>
          <w:b/>
          <w:sz w:val="22"/>
          <w:szCs w:val="22"/>
        </w:rPr>
        <w:fldChar w:fldCharType="end"/>
      </w:r>
      <w:bookmarkEnd w:id="14"/>
      <w:bookmarkEnd w:id="15"/>
    </w:p>
    <w:p w14:paraId="2DCD717D">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甲乙双方任何一方由于</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"http://set2.mail.qq.com/cgi-bin/mail_spam?action=check_link&amp;spam=0&amp;url=http%3A%2F%2Fwww%2Ebaidu%2Ecom%2Fs%3Fwd%3D%25E4%25B8%258D%25E5%258F%25AF%25E6%258A%2597%25E5%258A%259B%26hl_tag%3Dtextlink%26tn%3DSE_hldp01350_v6v6zkg6"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不可抗力</w:t>
      </w:r>
      <w:r>
        <w:rPr>
          <w:rFonts w:hint="eastAsia" w:ascii="仿宋" w:hAnsi="仿宋" w:eastAsia="仿宋" w:cs="仿宋"/>
          <w:bCs/>
          <w:sz w:val="22"/>
          <w:szCs w:val="22"/>
        </w:rPr>
        <w:fldChar w:fldCharType="end"/>
      </w:r>
      <w:r>
        <w:rPr>
          <w:rFonts w:hint="eastAsia" w:ascii="仿宋" w:hAnsi="仿宋" w:eastAsia="仿宋" w:cs="仿宋"/>
          <w:bCs/>
          <w:sz w:val="22"/>
          <w:szCs w:val="22"/>
        </w:rPr>
        <w:t>原因不能履行合同时，应及时向对</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"http://set2.mail.qq.com/cgi-bin/mail_spam?action=check_link&amp;spam=0&amp;url=http%3A%2F%2Fwww%2Ebaidu%2Ecom%2Fs%3Fwd%3D%25E6%2596%25B9%25E9%2580%259A%26hl_tag%3Dtextlink%26tn%3DSE_hldp01350_v6v6zkg6"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方通</w:t>
      </w:r>
      <w:r>
        <w:rPr>
          <w:rFonts w:hint="eastAsia" w:ascii="仿宋" w:hAnsi="仿宋" w:eastAsia="仿宋" w:cs="仿宋"/>
          <w:bCs/>
          <w:sz w:val="22"/>
          <w:szCs w:val="22"/>
        </w:rPr>
        <w:fldChar w:fldCharType="end"/>
      </w:r>
      <w:r>
        <w:rPr>
          <w:rFonts w:hint="eastAsia" w:ascii="仿宋" w:hAnsi="仿宋" w:eastAsia="仿宋" w:cs="仿宋"/>
          <w:bCs/>
          <w:sz w:val="22"/>
          <w:szCs w:val="22"/>
        </w:rPr>
        <w:t>报不能履行或不能完全履行的理由，以减轻可能给对方造成的损失，在取得有关机构证明后，允许延期履行、部分履行或不履行合同，并根据情况可部分或全部免予承担</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"http://set2.mail.qq.com/cgi-bin/mail_spam?action=check_link&amp;spam=0&amp;url=http%3A%2F%2Fwww%2Ebaidu%2Ecom%2Fs%3Fwd%3D%25E8%25BF%259D%25E7%25BA%25A6%25E8%25B4%25A3%25E4%25BB%25BB%26hl_tag%3Dtextlink%26tn%3DSE_hldp01350_v6v6zkg6"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违约责任</w:t>
      </w:r>
      <w:r>
        <w:rPr>
          <w:rFonts w:hint="eastAsia" w:ascii="仿宋" w:hAnsi="仿宋" w:eastAsia="仿宋" w:cs="仿宋"/>
          <w:bCs/>
          <w:sz w:val="22"/>
          <w:szCs w:val="22"/>
        </w:rPr>
        <w:fldChar w:fldCharType="end"/>
      </w:r>
      <w:r>
        <w:rPr>
          <w:rFonts w:hint="eastAsia" w:ascii="仿宋" w:hAnsi="仿宋" w:eastAsia="仿宋" w:cs="仿宋"/>
          <w:bCs/>
          <w:sz w:val="22"/>
          <w:szCs w:val="22"/>
        </w:rPr>
        <w:t>。</w:t>
      </w:r>
    </w:p>
    <w:p w14:paraId="30C8826F">
      <w:pPr>
        <w:adjustRightInd w:val="0"/>
        <w:snapToGrid w:val="0"/>
        <w:spacing w:line="360" w:lineRule="auto"/>
        <w:ind w:firstLine="442" w:firstLineChars="200"/>
        <w:rPr>
          <w:rFonts w:ascii="仿宋" w:hAnsi="仿宋" w:eastAsia="仿宋" w:cs="仿宋"/>
          <w:b/>
          <w:sz w:val="22"/>
          <w:szCs w:val="22"/>
        </w:rPr>
      </w:pPr>
      <w:bookmarkStart w:id="16" w:name="_Toc20228"/>
      <w:bookmarkStart w:id="17" w:name="_Toc27158"/>
      <w:r>
        <w:rPr>
          <w:rFonts w:hint="eastAsia" w:ascii="仿宋" w:hAnsi="仿宋" w:eastAsia="仿宋" w:cs="仿宋"/>
          <w:b/>
          <w:sz w:val="22"/>
          <w:szCs w:val="22"/>
        </w:rPr>
        <w:t>第十七条  争议解决</w:t>
      </w:r>
      <w:bookmarkEnd w:id="16"/>
      <w:bookmarkEnd w:id="17"/>
    </w:p>
    <w:p w14:paraId="1FCB32E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双方本着友好合作的态度,对合同履行过程中发生的纠纷应及时协商解决，协商不成的，向甲方所在地有管辖权的人民法院诉讼解决。</w:t>
      </w:r>
    </w:p>
    <w:p w14:paraId="56B9CB20">
      <w:pPr>
        <w:adjustRightInd w:val="0"/>
        <w:snapToGrid w:val="0"/>
        <w:spacing w:line="360" w:lineRule="auto"/>
        <w:ind w:firstLine="442" w:firstLineChars="200"/>
        <w:rPr>
          <w:rFonts w:ascii="仿宋" w:hAnsi="仿宋" w:eastAsia="仿宋" w:cs="仿宋"/>
          <w:b/>
          <w:sz w:val="22"/>
          <w:szCs w:val="22"/>
        </w:rPr>
      </w:pPr>
      <w:bookmarkStart w:id="18" w:name="_Toc18936"/>
      <w:bookmarkStart w:id="19" w:name="_Toc27655"/>
      <w:r>
        <w:rPr>
          <w:rFonts w:hint="eastAsia" w:ascii="仿宋" w:hAnsi="仿宋" w:eastAsia="仿宋" w:cs="仿宋"/>
          <w:b/>
          <w:sz w:val="22"/>
          <w:szCs w:val="22"/>
        </w:rPr>
        <w:t>第十八条  监督和管理</w:t>
      </w:r>
      <w:bookmarkEnd w:id="18"/>
      <w:bookmarkEnd w:id="19"/>
    </w:p>
    <w:p w14:paraId="07B978CF">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0485DCE">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2、甲乙双方均应自觉配合有关监督管理部门对</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"http://set2.mail.qq.com/cgi-bin/mail_spam?action=check_link&amp;spam=0&amp;url=http%3A%2F%2Fwww%2Ebaidu%2Ecom%2Fs%3Fwd%3D%25E5%2590%2588%25E5%2590%258C%25E5%25B1%25A5%25E8%25A1%258C%26hl_tag%3Dtextlink%26tn%3DSE_hldp01350_v6v6zkg6"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合同履行</w:t>
      </w:r>
      <w:r>
        <w:rPr>
          <w:rFonts w:hint="eastAsia" w:ascii="仿宋" w:hAnsi="仿宋" w:eastAsia="仿宋" w:cs="仿宋"/>
          <w:bCs/>
          <w:sz w:val="22"/>
          <w:szCs w:val="22"/>
        </w:rPr>
        <w:fldChar w:fldCharType="end"/>
      </w:r>
      <w:r>
        <w:rPr>
          <w:rFonts w:hint="eastAsia" w:ascii="仿宋" w:hAnsi="仿宋" w:eastAsia="仿宋" w:cs="仿宋"/>
          <w:bCs/>
          <w:sz w:val="22"/>
          <w:szCs w:val="22"/>
        </w:rPr>
        <w:t>情况的监督检查，如实反映情况，提供有关资料；否则，将对有关单位、当事人按照有关规定予以处罚。</w:t>
      </w:r>
    </w:p>
    <w:p w14:paraId="2DC92A76">
      <w:pPr>
        <w:adjustRightInd w:val="0"/>
        <w:snapToGrid w:val="0"/>
        <w:spacing w:line="360" w:lineRule="auto"/>
        <w:ind w:firstLine="442" w:firstLineChars="200"/>
        <w:rPr>
          <w:rFonts w:ascii="仿宋" w:hAnsi="仿宋" w:eastAsia="仿宋" w:cs="仿宋"/>
          <w:b/>
          <w:sz w:val="22"/>
          <w:szCs w:val="22"/>
        </w:rPr>
      </w:pPr>
      <w:bookmarkStart w:id="20" w:name="_Toc28165"/>
      <w:bookmarkStart w:id="21" w:name="_Toc18040"/>
      <w:r>
        <w:rPr>
          <w:rFonts w:hint="eastAsia" w:ascii="仿宋" w:hAnsi="仿宋" w:eastAsia="仿宋" w:cs="仿宋"/>
          <w:b/>
          <w:sz w:val="22"/>
          <w:szCs w:val="22"/>
        </w:rPr>
        <w:t>第十九条</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"http://set2.mail.qq.com/cgi-bin/mail_spam?action=check_link&amp;spam=0&amp;url=http%3A%2F%2Fwww%2Ebaidu%2Ecom%2Fs%3Fwd%3D%25E6%2597%25A0%25E6%2595%2588%25E5%2590%2588%25E5%2590%258C%26hl_tag%3Dtextlink%26tn%3DSE_hldp01350_v6v6zkg6" </w:instrText>
      </w:r>
      <w:r>
        <w:rPr>
          <w:rFonts w:ascii="Calibri" w:hAnsi="Calibri" w:eastAsia="宋体" w:cs="Times New Roman"/>
        </w:rPr>
        <w:fldChar w:fldCharType="separate"/>
      </w:r>
      <w:r>
        <w:rPr>
          <w:rFonts w:hint="eastAsia" w:ascii="仿宋" w:hAnsi="仿宋" w:eastAsia="仿宋" w:cs="仿宋"/>
          <w:b/>
          <w:sz w:val="22"/>
          <w:szCs w:val="22"/>
        </w:rPr>
        <w:t>无效合同</w:t>
      </w:r>
      <w:r>
        <w:rPr>
          <w:rFonts w:hint="eastAsia" w:ascii="仿宋" w:hAnsi="仿宋" w:eastAsia="仿宋" w:cs="仿宋"/>
          <w:b/>
          <w:sz w:val="22"/>
          <w:szCs w:val="22"/>
        </w:rPr>
        <w:fldChar w:fldCharType="end"/>
      </w:r>
      <w:bookmarkEnd w:id="20"/>
      <w:bookmarkEnd w:id="21"/>
    </w:p>
    <w:p w14:paraId="103DC1BB">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甲乙双方如因违反政府采购法及相关法律法规的规定，被宣告</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"http://set2.mail.qq.com/cgi-bin/mail_spam?action=check_link&amp;spam=0&amp;url=http%3A%2F%2Fwww%2Ebaidu%2Ecom%2Fs%3Fwd%3D%25E5%2590%2588%25E5%2590%258C%25E6%2597%25A0%25E6%2595%2588%26hl_tag%3Dtextlink%26tn%3DSE_hldp01350_v6v6zkg6"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合同无效</w:t>
      </w:r>
      <w:r>
        <w:rPr>
          <w:rFonts w:hint="eastAsia" w:ascii="仿宋" w:hAnsi="仿宋" w:eastAsia="仿宋" w:cs="仿宋"/>
          <w:bCs/>
          <w:sz w:val="22"/>
          <w:szCs w:val="22"/>
        </w:rPr>
        <w:fldChar w:fldCharType="end"/>
      </w:r>
      <w:r>
        <w:rPr>
          <w:rFonts w:hint="eastAsia" w:ascii="仿宋" w:hAnsi="仿宋" w:eastAsia="仿宋" w:cs="仿宋"/>
          <w:bCs/>
          <w:sz w:val="22"/>
          <w:szCs w:val="22"/>
        </w:rPr>
        <w:t>的，一切责任概由过错方自行承担。</w:t>
      </w:r>
    </w:p>
    <w:p w14:paraId="3D2B7751">
      <w:pPr>
        <w:adjustRightInd w:val="0"/>
        <w:snapToGrid w:val="0"/>
        <w:spacing w:line="360" w:lineRule="auto"/>
        <w:ind w:firstLine="442" w:firstLineChars="200"/>
        <w:rPr>
          <w:rFonts w:ascii="仿宋" w:hAnsi="仿宋" w:eastAsia="仿宋" w:cs="仿宋"/>
          <w:b/>
          <w:sz w:val="22"/>
          <w:szCs w:val="22"/>
        </w:rPr>
      </w:pPr>
      <w:bookmarkStart w:id="22" w:name="_Toc24160"/>
      <w:bookmarkStart w:id="23" w:name="_Toc4547"/>
      <w:r>
        <w:rPr>
          <w:rFonts w:hint="eastAsia" w:ascii="仿宋" w:hAnsi="仿宋" w:eastAsia="仿宋" w:cs="仿宋"/>
          <w:b/>
          <w:sz w:val="22"/>
          <w:szCs w:val="22"/>
        </w:rPr>
        <w:t>第二十条附则</w:t>
      </w:r>
      <w:bookmarkEnd w:id="22"/>
      <w:bookmarkEnd w:id="23"/>
    </w:p>
    <w:p w14:paraId="4EA0141E">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1、本次采购项目的磋商文件、响应文件、中标（成交）通知书及澄清说明文件均为本合同的组成部分，甲、乙双方必须全面遵守，如有违反，应承担违约责任。</w:t>
      </w:r>
    </w:p>
    <w:p w14:paraId="162594BC">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2、本合同一式陆份,采购监督管理部门壹份，甲乙双方各执两份,采购代理机构壹份。</w:t>
      </w:r>
    </w:p>
    <w:p w14:paraId="0B3459F5">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3、本合同自</w:t>
      </w:r>
      <w:r>
        <w:rPr>
          <w:rFonts w:hint="eastAsia" w:ascii="仿宋" w:hAnsi="仿宋" w:eastAsia="仿宋" w:cs="仿宋"/>
          <w:bCs/>
          <w:sz w:val="22"/>
          <w:szCs w:val="22"/>
          <w:lang w:eastAsia="zh-Hans"/>
        </w:rPr>
        <w:t>双方法定代表人或委托代理人签字并加盖单位公章</w:t>
      </w:r>
      <w:r>
        <w:rPr>
          <w:rFonts w:hint="eastAsia" w:ascii="仿宋" w:hAnsi="仿宋" w:eastAsia="仿宋" w:cs="仿宋"/>
          <w:bCs/>
          <w:sz w:val="22"/>
          <w:szCs w:val="22"/>
        </w:rPr>
        <w:t>之日起生效。</w:t>
      </w:r>
    </w:p>
    <w:p w14:paraId="7AAF8B1B">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4、附件：</w:t>
      </w:r>
    </w:p>
    <w:p w14:paraId="45E39921">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采购人(甲方)：        （公章）  供应商(乙方)：          （公章）</w:t>
      </w:r>
    </w:p>
    <w:p w14:paraId="65C50D16">
      <w:pPr>
        <w:adjustRightInd w:val="0"/>
        <w:snapToGrid w:val="0"/>
        <w:spacing w:line="360" w:lineRule="auto"/>
        <w:ind w:firstLine="420" w:firstLineChars="200"/>
        <w:rPr>
          <w:rFonts w:ascii="仿宋" w:hAnsi="仿宋" w:eastAsia="仿宋" w:cs="仿宋"/>
          <w:bCs/>
          <w:sz w:val="22"/>
          <w:szCs w:val="22"/>
        </w:rPr>
      </w:pP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"http://set2.mail.qq.com/cgi-bin/mail_spam?action=check_link&amp;spam=0&amp;url=http%3A%2F%2Fwww%2Ebaidu%2Ecom%2Fs%3Fwd%3D%25E6%25B3%2595%25E5%25AE%259A%25E4%25BB%25A3%25E8%25A1%25A8%25E4%25BA%25BA%26hl_tag%3Dtextlink%26tn%3DSE_hldp01350_v6v6zkg6"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法定代表人</w:t>
      </w:r>
      <w:r>
        <w:rPr>
          <w:rFonts w:hint="eastAsia" w:ascii="仿宋" w:hAnsi="仿宋" w:eastAsia="仿宋" w:cs="仿宋"/>
          <w:bCs/>
          <w:sz w:val="22"/>
          <w:szCs w:val="22"/>
        </w:rPr>
        <w:fldChar w:fldCharType="end"/>
      </w:r>
      <w:r>
        <w:rPr>
          <w:rFonts w:hint="eastAsia" w:ascii="仿宋" w:hAnsi="仿宋" w:eastAsia="仿宋" w:cs="仿宋"/>
          <w:bCs/>
          <w:sz w:val="22"/>
          <w:szCs w:val="22"/>
        </w:rPr>
        <w:t xml:space="preserve">                      </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"http://set2.mail.qq.com/cgi-bin/mail_spam?action=check_link&amp;spam=0&amp;url=http%3A%2F%2Fwww%2Ebaidu%2Ecom%2Fs%3Fwd%3D%25E6%25B3%2595%25E5%25AE%259A%25E4%25BB%25A3%25E8%25A1%25A8%25E4%25BA%25BA%26hl_tag%3Dtextlink%26tn%3DSE_hldp01350_v6v6zkg6"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法定代表人</w:t>
      </w:r>
      <w:r>
        <w:rPr>
          <w:rFonts w:hint="eastAsia" w:ascii="仿宋" w:hAnsi="仿宋" w:eastAsia="仿宋" w:cs="仿宋"/>
          <w:bCs/>
          <w:sz w:val="22"/>
          <w:szCs w:val="22"/>
        </w:rPr>
        <w:fldChar w:fldCharType="end"/>
      </w:r>
      <w:r>
        <w:rPr>
          <w:rFonts w:hint="eastAsia" w:ascii="仿宋" w:hAnsi="仿宋" w:eastAsia="仿宋" w:cs="仿宋"/>
          <w:bCs/>
          <w:sz w:val="22"/>
          <w:szCs w:val="22"/>
        </w:rPr>
        <w:t xml:space="preserve">                  </w:t>
      </w:r>
    </w:p>
    <w:p w14:paraId="0A8489B1">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或</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"http://set2.mail.qq.com/cgi-bin/mail_spam?action=check_link&amp;spam=0&amp;url=http%3A%2F%2Fwww%2Ebaidu%2Ecom%2Fs%3Fwd%3D%25E5%25A7%2594%25E6%2589%2598%25E4%25BB%25A3%25E7%2590%2586%25E4%25BA%25BA%26hl_tag%3Dtextlink%26tn%3DSE_hldp01350_v6v6zkg6"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授权代表</w:t>
      </w:r>
      <w:r>
        <w:rPr>
          <w:rFonts w:hint="eastAsia" w:ascii="仿宋" w:hAnsi="仿宋" w:eastAsia="仿宋" w:cs="仿宋"/>
          <w:bCs/>
          <w:sz w:val="22"/>
          <w:szCs w:val="22"/>
        </w:rPr>
        <w:fldChar w:fldCharType="end"/>
      </w:r>
      <w:r>
        <w:rPr>
          <w:rFonts w:hint="eastAsia" w:ascii="仿宋" w:hAnsi="仿宋" w:eastAsia="仿宋" w:cs="仿宋"/>
          <w:bCs/>
          <w:sz w:val="22"/>
          <w:szCs w:val="22"/>
        </w:rPr>
        <w:t>：    （签字或盖章）或</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"http://set2.mail.qq.com/cgi-bin/mail_spam?action=check_link&amp;spam=0&amp;url=http%3A%2F%2Fwww%2Ebaidu%2Ecom%2Fs%3Fwd%3D%25E5%25A7%2594%25E6%2589%2598%25E4%25BB%25A3%25E7%2590%2586%25E4%25BA%25BA%26hl_tag%3Dtextlink%26tn%3DSE_hldp01350_v6v6zkg6"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授权代表</w:t>
      </w:r>
      <w:r>
        <w:rPr>
          <w:rFonts w:hint="eastAsia" w:ascii="仿宋" w:hAnsi="仿宋" w:eastAsia="仿宋" w:cs="仿宋"/>
          <w:bCs/>
          <w:sz w:val="22"/>
          <w:szCs w:val="22"/>
        </w:rPr>
        <w:fldChar w:fldCharType="end"/>
      </w:r>
      <w:r>
        <w:rPr>
          <w:rFonts w:hint="eastAsia" w:ascii="仿宋" w:hAnsi="仿宋" w:eastAsia="仿宋" w:cs="仿宋"/>
          <w:bCs/>
          <w:sz w:val="22"/>
          <w:szCs w:val="22"/>
        </w:rPr>
        <w:t>：    （签字或盖章）</w:t>
      </w:r>
    </w:p>
    <w:p w14:paraId="66030368">
      <w:pPr>
        <w:adjustRightInd w:val="0"/>
        <w:snapToGrid w:val="0"/>
        <w:spacing w:line="360" w:lineRule="auto"/>
        <w:ind w:firstLine="440" w:firstLineChars="200"/>
        <w:rPr>
          <w:rFonts w:ascii="仿宋" w:hAnsi="仿宋" w:eastAsia="仿宋" w:cs="仿宋"/>
          <w:bCs/>
          <w:sz w:val="22"/>
          <w:szCs w:val="22"/>
          <w:lang w:eastAsia="zh-Hans"/>
        </w:rPr>
      </w:pPr>
      <w:r>
        <w:rPr>
          <w:rFonts w:hint="eastAsia" w:ascii="仿宋" w:hAnsi="仿宋" w:eastAsia="仿宋" w:cs="仿宋"/>
          <w:bCs/>
          <w:sz w:val="22"/>
          <w:szCs w:val="22"/>
          <w:lang w:eastAsia="zh-Hans"/>
        </w:rPr>
        <w:t>联系人：                        联系人：</w:t>
      </w:r>
    </w:p>
    <w:p w14:paraId="0E262629">
      <w:pPr>
        <w:adjustRightInd w:val="0"/>
        <w:snapToGrid w:val="0"/>
        <w:spacing w:line="360" w:lineRule="auto"/>
        <w:ind w:firstLine="440" w:firstLineChars="200"/>
        <w:rPr>
          <w:rFonts w:ascii="仿宋" w:hAnsi="仿宋" w:eastAsia="仿宋" w:cs="仿宋"/>
          <w:bCs/>
          <w:sz w:val="22"/>
          <w:szCs w:val="22"/>
          <w:lang w:eastAsia="zh-Hans"/>
        </w:rPr>
      </w:pPr>
      <w:r>
        <w:rPr>
          <w:rFonts w:hint="eastAsia" w:ascii="仿宋" w:hAnsi="仿宋" w:eastAsia="仿宋" w:cs="仿宋"/>
          <w:bCs/>
          <w:sz w:val="22"/>
          <w:szCs w:val="22"/>
          <w:lang w:eastAsia="zh-Hans"/>
        </w:rPr>
        <w:t>联系方式：                      联系方式：</w:t>
      </w:r>
    </w:p>
    <w:p w14:paraId="2E5AC01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lang w:eastAsia="zh-Hans"/>
        </w:rPr>
        <w:t>联系地址：                      联系地址：</w:t>
      </w:r>
    </w:p>
    <w:p w14:paraId="1E2C9433">
      <w:pPr>
        <w:adjustRightInd w:val="0"/>
        <w:snapToGrid w:val="0"/>
        <w:spacing w:line="360" w:lineRule="auto"/>
        <w:ind w:firstLine="420" w:firstLineChars="200"/>
        <w:rPr>
          <w:rFonts w:ascii="仿宋" w:hAnsi="仿宋" w:eastAsia="仿宋" w:cs="仿宋"/>
          <w:bCs/>
          <w:sz w:val="22"/>
          <w:szCs w:val="22"/>
        </w:rPr>
      </w:pP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"http://set2.mail.qq.com/cgi-bin/mail_spam?action=check_link&amp;spam=0&amp;url=http%3A%2F%2Fwww%2Ebaidu%2Ecom%2Fs%3Fwd%3D%25E5%25BC%2580%25E6%2588%25B7%25E9%2593%25B6%25E8%25A1%258C%26hl_tag%3Dtextlink%26tn%3DSE_hldp01350_v6v6zkg6"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开户银行</w:t>
      </w:r>
      <w:r>
        <w:rPr>
          <w:rFonts w:hint="eastAsia" w:ascii="仿宋" w:hAnsi="仿宋" w:eastAsia="仿宋" w:cs="仿宋"/>
          <w:bCs/>
          <w:sz w:val="22"/>
          <w:szCs w:val="22"/>
        </w:rPr>
        <w:fldChar w:fldCharType="end"/>
      </w:r>
      <w:r>
        <w:rPr>
          <w:rFonts w:hint="eastAsia" w:ascii="仿宋" w:hAnsi="仿宋" w:eastAsia="仿宋" w:cs="仿宋"/>
          <w:bCs/>
          <w:sz w:val="22"/>
          <w:szCs w:val="22"/>
        </w:rPr>
        <w:t xml:space="preserve">：                    </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"http://set2.mail.qq.com/cgi-bin/mail_spam?action=check_link&amp;spam=0&amp;url=http%3A%2F%2Fwww%2Ebaidu%2Ecom%2Fs%3Fwd%3D%25E5%25BC%2580%25E6%2588%25B7%25E9%2593%25B6%25E8%25A1%258C%26hl_tag%3Dtextlink%26tn%3DSE_hldp01350_v6v6zkg6" </w:instrText>
      </w:r>
      <w:r>
        <w:rPr>
          <w:rFonts w:ascii="Calibri" w:hAnsi="Calibri" w:eastAsia="宋体" w:cs="Times New Roman"/>
        </w:rPr>
        <w:fldChar w:fldCharType="separate"/>
      </w:r>
      <w:r>
        <w:rPr>
          <w:rFonts w:hint="eastAsia" w:ascii="仿宋" w:hAnsi="仿宋" w:eastAsia="仿宋" w:cs="仿宋"/>
          <w:bCs/>
          <w:sz w:val="22"/>
          <w:szCs w:val="22"/>
        </w:rPr>
        <w:t>开户银行</w:t>
      </w:r>
      <w:r>
        <w:rPr>
          <w:rFonts w:hint="eastAsia" w:ascii="仿宋" w:hAnsi="仿宋" w:eastAsia="仿宋" w:cs="仿宋"/>
          <w:bCs/>
          <w:sz w:val="22"/>
          <w:szCs w:val="22"/>
        </w:rPr>
        <w:fldChar w:fldCharType="end"/>
      </w:r>
      <w:r>
        <w:rPr>
          <w:rFonts w:hint="eastAsia" w:ascii="仿宋" w:hAnsi="仿宋" w:eastAsia="仿宋" w:cs="仿宋"/>
          <w:bCs/>
          <w:sz w:val="22"/>
          <w:szCs w:val="22"/>
        </w:rPr>
        <w:t>：               .</w:t>
      </w:r>
    </w:p>
    <w:p w14:paraId="6DEFD240">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帐    号：                    帐    号：               .</w:t>
      </w:r>
    </w:p>
    <w:p w14:paraId="1B12A9D3">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电    话：                    电    话：               .</w:t>
      </w:r>
    </w:p>
    <w:p w14:paraId="1025A684">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地    址：                    地    址：                .</w:t>
      </w:r>
    </w:p>
    <w:p w14:paraId="2090DA18">
      <w:pPr>
        <w:adjustRightInd w:val="0"/>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时    间：  年月日        时    间： 年月日</w:t>
      </w:r>
    </w:p>
    <w:p w14:paraId="6C60756A">
      <w:pPr>
        <w:adjustRightInd w:val="0"/>
        <w:snapToGrid w:val="0"/>
        <w:spacing w:line="360" w:lineRule="auto"/>
        <w:ind w:firstLine="480" w:firstLineChars="200"/>
        <w:rPr>
          <w:rFonts w:ascii="仿宋" w:hAnsi="仿宋" w:eastAsia="仿宋" w:cs="仿宋"/>
          <w:sz w:val="24"/>
        </w:rPr>
      </w:pPr>
    </w:p>
    <w:p w14:paraId="261C36BC">
      <w:pPr>
        <w:adjustRightInd w:val="0"/>
        <w:snapToGrid w:val="0"/>
        <w:spacing w:line="360" w:lineRule="auto"/>
        <w:ind w:firstLine="480" w:firstLineChars="200"/>
        <w:rPr>
          <w:rFonts w:hint="eastAsia" w:ascii="仿宋" w:hAnsi="仿宋" w:eastAsia="仿宋" w:cs="仿宋"/>
          <w:sz w:val="24"/>
        </w:rPr>
      </w:pPr>
    </w:p>
    <w:p w14:paraId="2D2588D3">
      <w:pPr>
        <w:adjustRightInd w:val="0"/>
        <w:snapToGrid w:val="0"/>
        <w:spacing w:line="360" w:lineRule="auto"/>
        <w:ind w:firstLine="480" w:firstLineChars="200"/>
        <w:rPr>
          <w:rFonts w:hint="eastAsia" w:ascii="仿宋" w:hAnsi="仿宋" w:eastAsia="仿宋" w:cs="仿宋"/>
          <w:sz w:val="24"/>
        </w:rPr>
      </w:pPr>
    </w:p>
    <w:p w14:paraId="38361DFC">
      <w:pPr>
        <w:adjustRightInd w:val="0"/>
        <w:snapToGrid w:val="0"/>
        <w:spacing w:line="360" w:lineRule="auto"/>
        <w:ind w:firstLine="480" w:firstLineChars="200"/>
        <w:rPr>
          <w:rFonts w:hint="eastAsia" w:ascii="仿宋" w:hAnsi="仿宋" w:eastAsia="仿宋" w:cs="仿宋"/>
          <w:sz w:val="24"/>
        </w:rPr>
      </w:pPr>
    </w:p>
    <w:p w14:paraId="3B5E2072">
      <w:pPr>
        <w:adjustRightInd w:val="0"/>
        <w:snapToGrid w:val="0"/>
        <w:spacing w:line="360" w:lineRule="auto"/>
        <w:ind w:firstLine="480" w:firstLineChars="200"/>
        <w:rPr>
          <w:rFonts w:hint="eastAsia" w:ascii="仿宋" w:hAnsi="仿宋" w:eastAsia="仿宋" w:cs="仿宋"/>
          <w:sz w:val="24"/>
        </w:rPr>
      </w:pPr>
    </w:p>
    <w:p w14:paraId="76ED8E52">
      <w:pPr>
        <w:adjustRightInd w:val="0"/>
        <w:snapToGrid w:val="0"/>
        <w:spacing w:line="360" w:lineRule="auto"/>
        <w:ind w:firstLine="480" w:firstLineChars="200"/>
        <w:rPr>
          <w:rFonts w:hint="eastAsia" w:ascii="仿宋" w:hAnsi="仿宋" w:eastAsia="仿宋" w:cs="仿宋"/>
          <w:sz w:val="24"/>
        </w:rPr>
      </w:pPr>
    </w:p>
    <w:p w14:paraId="562532A9">
      <w:pPr>
        <w:adjustRightInd w:val="0"/>
        <w:snapToGrid w:val="0"/>
        <w:spacing w:line="360" w:lineRule="auto"/>
        <w:ind w:firstLine="480" w:firstLineChars="200"/>
        <w:rPr>
          <w:rFonts w:hint="eastAsia" w:ascii="仿宋" w:hAnsi="仿宋" w:eastAsia="仿宋" w:cs="仿宋"/>
          <w:sz w:val="24"/>
        </w:rPr>
      </w:pPr>
    </w:p>
    <w:p w14:paraId="098A971F">
      <w:pPr>
        <w:adjustRightInd w:val="0"/>
        <w:snapToGrid w:val="0"/>
        <w:spacing w:line="360" w:lineRule="auto"/>
        <w:ind w:firstLine="480" w:firstLineChars="200"/>
        <w:rPr>
          <w:rFonts w:hint="eastAsia" w:ascii="仿宋" w:hAnsi="仿宋" w:eastAsia="仿宋" w:cs="仿宋"/>
          <w:sz w:val="24"/>
        </w:rPr>
      </w:pPr>
    </w:p>
    <w:p w14:paraId="5B004D8B">
      <w:pPr>
        <w:adjustRightInd w:val="0"/>
        <w:snapToGrid w:val="0"/>
        <w:spacing w:line="360" w:lineRule="auto"/>
        <w:ind w:firstLine="480" w:firstLineChars="200"/>
        <w:rPr>
          <w:rFonts w:hint="eastAsia" w:ascii="仿宋" w:hAnsi="仿宋" w:eastAsia="仿宋" w:cs="仿宋"/>
          <w:sz w:val="24"/>
        </w:rPr>
      </w:pPr>
    </w:p>
    <w:p w14:paraId="6A0FC0A8">
      <w:pPr>
        <w:adjustRightInd w:val="0"/>
        <w:snapToGrid w:val="0"/>
        <w:spacing w:line="360" w:lineRule="auto"/>
        <w:ind w:firstLine="480" w:firstLineChars="200"/>
        <w:rPr>
          <w:rFonts w:ascii="仿宋" w:hAnsi="仿宋" w:eastAsia="仿宋" w:cs="仿宋"/>
          <w:sz w:val="24"/>
        </w:rPr>
      </w:pPr>
      <w:bookmarkStart w:id="24" w:name="_GoBack"/>
      <w:bookmarkEnd w:id="24"/>
      <w:r>
        <w:rPr>
          <w:rFonts w:hint="eastAsia" w:ascii="仿宋" w:hAnsi="仿宋" w:eastAsia="仿宋" w:cs="仿宋"/>
          <w:sz w:val="24"/>
        </w:rPr>
        <w:t>附件1：</w:t>
      </w:r>
    </w:p>
    <w:tbl>
      <w:tblPr>
        <w:tblStyle w:val="18"/>
        <w:tblW w:w="8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503"/>
        <w:gridCol w:w="1369"/>
        <w:gridCol w:w="995"/>
        <w:gridCol w:w="1134"/>
        <w:gridCol w:w="1002"/>
        <w:gridCol w:w="1136"/>
        <w:gridCol w:w="715"/>
      </w:tblGrid>
      <w:tr w14:paraId="2559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1275D346">
            <w:pPr>
              <w:adjustRightInd w:val="0"/>
              <w:snapToGrid w:val="0"/>
              <w:spacing w:line="360" w:lineRule="auto"/>
              <w:rPr>
                <w:rFonts w:ascii="仿宋" w:hAnsi="仿宋" w:eastAsia="仿宋" w:cs="仿宋"/>
                <w:sz w:val="24"/>
              </w:rPr>
            </w:pPr>
            <w:r>
              <w:rPr>
                <w:rFonts w:hint="eastAsia" w:ascii="仿宋" w:hAnsi="仿宋" w:eastAsia="仿宋" w:cs="仿宋"/>
                <w:sz w:val="24"/>
              </w:rPr>
              <w:t>序号</w:t>
            </w:r>
          </w:p>
        </w:tc>
        <w:tc>
          <w:tcPr>
            <w:tcW w:w="1503" w:type="dxa"/>
            <w:vAlign w:val="center"/>
          </w:tcPr>
          <w:p w14:paraId="464E1965">
            <w:pPr>
              <w:adjustRightInd w:val="0"/>
              <w:snapToGrid w:val="0"/>
              <w:spacing w:line="360" w:lineRule="auto"/>
              <w:rPr>
                <w:rFonts w:ascii="仿宋" w:hAnsi="仿宋" w:eastAsia="仿宋" w:cs="仿宋"/>
                <w:sz w:val="24"/>
              </w:rPr>
            </w:pPr>
            <w:r>
              <w:rPr>
                <w:rFonts w:hint="eastAsia" w:ascii="仿宋" w:hAnsi="仿宋" w:eastAsia="仿宋" w:cs="仿宋"/>
                <w:sz w:val="24"/>
              </w:rPr>
              <w:t>产品名称</w:t>
            </w:r>
          </w:p>
        </w:tc>
        <w:tc>
          <w:tcPr>
            <w:tcW w:w="1369" w:type="dxa"/>
            <w:vAlign w:val="center"/>
          </w:tcPr>
          <w:p w14:paraId="3AE98570">
            <w:pPr>
              <w:adjustRightInd w:val="0"/>
              <w:snapToGrid w:val="0"/>
              <w:spacing w:line="360" w:lineRule="auto"/>
              <w:rPr>
                <w:rFonts w:ascii="仿宋" w:hAnsi="仿宋" w:eastAsia="仿宋" w:cs="仿宋"/>
                <w:sz w:val="24"/>
              </w:rPr>
            </w:pPr>
            <w:r>
              <w:rPr>
                <w:rFonts w:hint="eastAsia" w:ascii="仿宋" w:hAnsi="仿宋" w:eastAsia="仿宋" w:cs="仿宋"/>
                <w:sz w:val="24"/>
              </w:rPr>
              <w:t>品牌型号</w:t>
            </w:r>
          </w:p>
        </w:tc>
        <w:tc>
          <w:tcPr>
            <w:tcW w:w="995" w:type="dxa"/>
            <w:vAlign w:val="center"/>
          </w:tcPr>
          <w:p w14:paraId="53A27C8A">
            <w:pPr>
              <w:adjustRightInd w:val="0"/>
              <w:snapToGrid w:val="0"/>
              <w:spacing w:line="360" w:lineRule="auto"/>
              <w:rPr>
                <w:rFonts w:ascii="仿宋" w:hAnsi="仿宋" w:eastAsia="仿宋" w:cs="仿宋"/>
                <w:sz w:val="24"/>
              </w:rPr>
            </w:pPr>
            <w:r>
              <w:rPr>
                <w:rFonts w:hint="eastAsia" w:ascii="仿宋" w:hAnsi="仿宋" w:eastAsia="仿宋" w:cs="仿宋"/>
                <w:sz w:val="24"/>
              </w:rPr>
              <w:t>单位</w:t>
            </w:r>
          </w:p>
        </w:tc>
        <w:tc>
          <w:tcPr>
            <w:tcW w:w="1134" w:type="dxa"/>
            <w:vAlign w:val="center"/>
          </w:tcPr>
          <w:p w14:paraId="2D1A89F9">
            <w:pPr>
              <w:adjustRightInd w:val="0"/>
              <w:snapToGrid w:val="0"/>
              <w:spacing w:line="360" w:lineRule="auto"/>
              <w:rPr>
                <w:rFonts w:ascii="仿宋" w:hAnsi="仿宋" w:eastAsia="仿宋" w:cs="仿宋"/>
                <w:sz w:val="24"/>
              </w:rPr>
            </w:pPr>
            <w:r>
              <w:rPr>
                <w:rFonts w:hint="eastAsia" w:ascii="仿宋" w:hAnsi="仿宋" w:eastAsia="仿宋" w:cs="仿宋"/>
                <w:sz w:val="24"/>
              </w:rPr>
              <w:t>数量</w:t>
            </w:r>
          </w:p>
        </w:tc>
        <w:tc>
          <w:tcPr>
            <w:tcW w:w="1002" w:type="dxa"/>
            <w:vAlign w:val="center"/>
          </w:tcPr>
          <w:p w14:paraId="049268AE">
            <w:pPr>
              <w:adjustRightInd w:val="0"/>
              <w:snapToGrid w:val="0"/>
              <w:spacing w:line="360" w:lineRule="auto"/>
              <w:rPr>
                <w:rFonts w:ascii="仿宋" w:hAnsi="仿宋" w:eastAsia="仿宋" w:cs="仿宋"/>
                <w:sz w:val="24"/>
              </w:rPr>
            </w:pPr>
            <w:r>
              <w:rPr>
                <w:rFonts w:hint="eastAsia" w:ascii="仿宋" w:hAnsi="仿宋" w:eastAsia="仿宋" w:cs="仿宋"/>
                <w:sz w:val="24"/>
              </w:rPr>
              <w:t>单价（元）</w:t>
            </w:r>
          </w:p>
        </w:tc>
        <w:tc>
          <w:tcPr>
            <w:tcW w:w="1136" w:type="dxa"/>
            <w:vAlign w:val="center"/>
          </w:tcPr>
          <w:p w14:paraId="6FB76947">
            <w:pPr>
              <w:adjustRightInd w:val="0"/>
              <w:snapToGrid w:val="0"/>
              <w:spacing w:line="360" w:lineRule="auto"/>
              <w:rPr>
                <w:rFonts w:ascii="仿宋" w:hAnsi="仿宋" w:eastAsia="仿宋" w:cs="仿宋"/>
                <w:sz w:val="24"/>
              </w:rPr>
            </w:pPr>
            <w:r>
              <w:rPr>
                <w:rFonts w:hint="eastAsia" w:ascii="仿宋" w:hAnsi="仿宋" w:eastAsia="仿宋" w:cs="仿宋"/>
                <w:sz w:val="24"/>
              </w:rPr>
              <w:t>合计</w:t>
            </w:r>
          </w:p>
          <w:p w14:paraId="75FE89AE">
            <w:pPr>
              <w:adjustRightInd w:val="0"/>
              <w:snapToGrid w:val="0"/>
              <w:spacing w:line="360" w:lineRule="auto"/>
              <w:rPr>
                <w:rFonts w:ascii="仿宋" w:hAnsi="仿宋" w:eastAsia="仿宋" w:cs="仿宋"/>
                <w:sz w:val="24"/>
              </w:rPr>
            </w:pPr>
            <w:r>
              <w:rPr>
                <w:rFonts w:hint="eastAsia" w:ascii="仿宋" w:hAnsi="仿宋" w:eastAsia="仿宋" w:cs="仿宋"/>
                <w:sz w:val="24"/>
              </w:rPr>
              <w:t>（元）</w:t>
            </w:r>
          </w:p>
        </w:tc>
        <w:tc>
          <w:tcPr>
            <w:tcW w:w="715" w:type="dxa"/>
            <w:vAlign w:val="center"/>
          </w:tcPr>
          <w:p w14:paraId="54DC79E9">
            <w:pPr>
              <w:adjustRightInd w:val="0"/>
              <w:snapToGrid w:val="0"/>
              <w:spacing w:line="360" w:lineRule="auto"/>
              <w:rPr>
                <w:rFonts w:ascii="仿宋" w:hAnsi="仿宋" w:eastAsia="仿宋" w:cs="仿宋"/>
                <w:sz w:val="24"/>
              </w:rPr>
            </w:pPr>
            <w:r>
              <w:rPr>
                <w:rFonts w:hint="eastAsia" w:ascii="仿宋" w:hAnsi="仿宋" w:eastAsia="仿宋" w:cs="仿宋"/>
                <w:sz w:val="24"/>
              </w:rPr>
              <w:t>备注</w:t>
            </w:r>
          </w:p>
        </w:tc>
      </w:tr>
      <w:tr w14:paraId="7D36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1E23135C">
            <w:pPr>
              <w:adjustRightInd w:val="0"/>
              <w:snapToGrid w:val="0"/>
              <w:spacing w:line="360" w:lineRule="auto"/>
              <w:ind w:firstLine="480" w:firstLineChars="200"/>
              <w:rPr>
                <w:rFonts w:ascii="仿宋" w:hAnsi="仿宋" w:eastAsia="仿宋" w:cs="仿宋"/>
                <w:sz w:val="24"/>
              </w:rPr>
            </w:pPr>
          </w:p>
        </w:tc>
        <w:tc>
          <w:tcPr>
            <w:tcW w:w="1503" w:type="dxa"/>
            <w:vAlign w:val="center"/>
          </w:tcPr>
          <w:p w14:paraId="4E308D99">
            <w:pPr>
              <w:adjustRightInd w:val="0"/>
              <w:snapToGrid w:val="0"/>
              <w:spacing w:line="360" w:lineRule="auto"/>
              <w:ind w:firstLine="480" w:firstLineChars="200"/>
              <w:rPr>
                <w:rFonts w:ascii="仿宋" w:hAnsi="仿宋" w:eastAsia="仿宋" w:cs="仿宋"/>
                <w:sz w:val="24"/>
              </w:rPr>
            </w:pPr>
          </w:p>
        </w:tc>
        <w:tc>
          <w:tcPr>
            <w:tcW w:w="1369" w:type="dxa"/>
            <w:vAlign w:val="center"/>
          </w:tcPr>
          <w:p w14:paraId="1F7AAB90">
            <w:pPr>
              <w:adjustRightInd w:val="0"/>
              <w:snapToGrid w:val="0"/>
              <w:spacing w:line="360" w:lineRule="auto"/>
              <w:ind w:firstLine="480" w:firstLineChars="200"/>
              <w:rPr>
                <w:rFonts w:ascii="仿宋" w:hAnsi="仿宋" w:eastAsia="仿宋" w:cs="仿宋"/>
                <w:sz w:val="24"/>
              </w:rPr>
            </w:pPr>
          </w:p>
        </w:tc>
        <w:tc>
          <w:tcPr>
            <w:tcW w:w="995" w:type="dxa"/>
            <w:vAlign w:val="center"/>
          </w:tcPr>
          <w:p w14:paraId="7EF7721D">
            <w:pPr>
              <w:adjustRightInd w:val="0"/>
              <w:snapToGrid w:val="0"/>
              <w:spacing w:line="360" w:lineRule="auto"/>
              <w:ind w:firstLine="480" w:firstLineChars="200"/>
              <w:rPr>
                <w:rFonts w:ascii="仿宋" w:hAnsi="仿宋" w:eastAsia="仿宋" w:cs="仿宋"/>
                <w:sz w:val="24"/>
              </w:rPr>
            </w:pPr>
          </w:p>
        </w:tc>
        <w:tc>
          <w:tcPr>
            <w:tcW w:w="1134" w:type="dxa"/>
            <w:vAlign w:val="center"/>
          </w:tcPr>
          <w:p w14:paraId="7FA87103">
            <w:pPr>
              <w:adjustRightInd w:val="0"/>
              <w:snapToGrid w:val="0"/>
              <w:spacing w:line="360" w:lineRule="auto"/>
              <w:ind w:firstLine="480" w:firstLineChars="200"/>
              <w:rPr>
                <w:rFonts w:ascii="仿宋" w:hAnsi="仿宋" w:eastAsia="仿宋" w:cs="仿宋"/>
                <w:sz w:val="24"/>
              </w:rPr>
            </w:pPr>
          </w:p>
        </w:tc>
        <w:tc>
          <w:tcPr>
            <w:tcW w:w="1002" w:type="dxa"/>
            <w:vAlign w:val="center"/>
          </w:tcPr>
          <w:p w14:paraId="1B30E9EA">
            <w:pPr>
              <w:adjustRightInd w:val="0"/>
              <w:snapToGrid w:val="0"/>
              <w:spacing w:line="360" w:lineRule="auto"/>
              <w:ind w:firstLine="480" w:firstLineChars="200"/>
              <w:rPr>
                <w:rFonts w:ascii="仿宋" w:hAnsi="仿宋" w:eastAsia="仿宋" w:cs="仿宋"/>
                <w:sz w:val="24"/>
              </w:rPr>
            </w:pPr>
          </w:p>
        </w:tc>
        <w:tc>
          <w:tcPr>
            <w:tcW w:w="1136" w:type="dxa"/>
            <w:vAlign w:val="center"/>
          </w:tcPr>
          <w:p w14:paraId="1E35C6C2">
            <w:pPr>
              <w:adjustRightInd w:val="0"/>
              <w:snapToGrid w:val="0"/>
              <w:spacing w:line="360" w:lineRule="auto"/>
              <w:ind w:firstLine="480" w:firstLineChars="200"/>
              <w:rPr>
                <w:rFonts w:ascii="仿宋" w:hAnsi="仿宋" w:eastAsia="仿宋" w:cs="仿宋"/>
                <w:sz w:val="24"/>
              </w:rPr>
            </w:pPr>
          </w:p>
        </w:tc>
        <w:tc>
          <w:tcPr>
            <w:tcW w:w="715" w:type="dxa"/>
            <w:vAlign w:val="center"/>
          </w:tcPr>
          <w:p w14:paraId="78CCC43F">
            <w:pPr>
              <w:adjustRightInd w:val="0"/>
              <w:snapToGrid w:val="0"/>
              <w:spacing w:line="360" w:lineRule="auto"/>
              <w:ind w:firstLine="480" w:firstLineChars="200"/>
              <w:rPr>
                <w:rFonts w:ascii="仿宋" w:hAnsi="仿宋" w:eastAsia="仿宋" w:cs="仿宋"/>
                <w:sz w:val="24"/>
              </w:rPr>
            </w:pPr>
          </w:p>
        </w:tc>
      </w:tr>
      <w:tr w14:paraId="1C4D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0E5BEE8D">
            <w:pPr>
              <w:adjustRightInd w:val="0"/>
              <w:snapToGrid w:val="0"/>
              <w:spacing w:line="360" w:lineRule="auto"/>
              <w:ind w:firstLine="480" w:firstLineChars="200"/>
              <w:rPr>
                <w:rFonts w:ascii="仿宋" w:hAnsi="仿宋" w:eastAsia="仿宋" w:cs="仿宋"/>
                <w:sz w:val="24"/>
              </w:rPr>
            </w:pPr>
          </w:p>
        </w:tc>
        <w:tc>
          <w:tcPr>
            <w:tcW w:w="1503" w:type="dxa"/>
            <w:vAlign w:val="center"/>
          </w:tcPr>
          <w:p w14:paraId="77AFF0B7">
            <w:pPr>
              <w:adjustRightInd w:val="0"/>
              <w:snapToGrid w:val="0"/>
              <w:spacing w:line="360" w:lineRule="auto"/>
              <w:ind w:firstLine="480" w:firstLineChars="200"/>
              <w:rPr>
                <w:rFonts w:ascii="仿宋" w:hAnsi="仿宋" w:eastAsia="仿宋" w:cs="仿宋"/>
                <w:sz w:val="24"/>
              </w:rPr>
            </w:pPr>
          </w:p>
        </w:tc>
        <w:tc>
          <w:tcPr>
            <w:tcW w:w="1369" w:type="dxa"/>
            <w:vAlign w:val="center"/>
          </w:tcPr>
          <w:p w14:paraId="76D914C5">
            <w:pPr>
              <w:adjustRightInd w:val="0"/>
              <w:snapToGrid w:val="0"/>
              <w:spacing w:line="360" w:lineRule="auto"/>
              <w:ind w:firstLine="480" w:firstLineChars="200"/>
              <w:rPr>
                <w:rFonts w:ascii="仿宋" w:hAnsi="仿宋" w:eastAsia="仿宋" w:cs="仿宋"/>
                <w:sz w:val="24"/>
              </w:rPr>
            </w:pPr>
          </w:p>
        </w:tc>
        <w:tc>
          <w:tcPr>
            <w:tcW w:w="995" w:type="dxa"/>
            <w:vAlign w:val="center"/>
          </w:tcPr>
          <w:p w14:paraId="71178592">
            <w:pPr>
              <w:adjustRightInd w:val="0"/>
              <w:snapToGrid w:val="0"/>
              <w:spacing w:line="360" w:lineRule="auto"/>
              <w:ind w:firstLine="480" w:firstLineChars="200"/>
              <w:rPr>
                <w:rFonts w:ascii="仿宋" w:hAnsi="仿宋" w:eastAsia="仿宋" w:cs="仿宋"/>
                <w:sz w:val="24"/>
              </w:rPr>
            </w:pPr>
          </w:p>
        </w:tc>
        <w:tc>
          <w:tcPr>
            <w:tcW w:w="1134" w:type="dxa"/>
            <w:vAlign w:val="center"/>
          </w:tcPr>
          <w:p w14:paraId="4FE439A9">
            <w:pPr>
              <w:adjustRightInd w:val="0"/>
              <w:snapToGrid w:val="0"/>
              <w:spacing w:line="360" w:lineRule="auto"/>
              <w:ind w:firstLine="480" w:firstLineChars="200"/>
              <w:rPr>
                <w:rFonts w:ascii="仿宋" w:hAnsi="仿宋" w:eastAsia="仿宋" w:cs="仿宋"/>
                <w:sz w:val="24"/>
              </w:rPr>
            </w:pPr>
          </w:p>
        </w:tc>
        <w:tc>
          <w:tcPr>
            <w:tcW w:w="1002" w:type="dxa"/>
            <w:vAlign w:val="center"/>
          </w:tcPr>
          <w:p w14:paraId="29DE0408">
            <w:pPr>
              <w:adjustRightInd w:val="0"/>
              <w:snapToGrid w:val="0"/>
              <w:spacing w:line="360" w:lineRule="auto"/>
              <w:ind w:firstLine="480" w:firstLineChars="200"/>
              <w:rPr>
                <w:rFonts w:ascii="仿宋" w:hAnsi="仿宋" w:eastAsia="仿宋" w:cs="仿宋"/>
                <w:sz w:val="24"/>
              </w:rPr>
            </w:pPr>
          </w:p>
        </w:tc>
        <w:tc>
          <w:tcPr>
            <w:tcW w:w="1136" w:type="dxa"/>
            <w:vAlign w:val="center"/>
          </w:tcPr>
          <w:p w14:paraId="5E28C2FD">
            <w:pPr>
              <w:adjustRightInd w:val="0"/>
              <w:snapToGrid w:val="0"/>
              <w:spacing w:line="360" w:lineRule="auto"/>
              <w:ind w:firstLine="480" w:firstLineChars="200"/>
              <w:rPr>
                <w:rFonts w:ascii="仿宋" w:hAnsi="仿宋" w:eastAsia="仿宋" w:cs="仿宋"/>
                <w:sz w:val="24"/>
              </w:rPr>
            </w:pPr>
          </w:p>
        </w:tc>
        <w:tc>
          <w:tcPr>
            <w:tcW w:w="715" w:type="dxa"/>
            <w:vAlign w:val="center"/>
          </w:tcPr>
          <w:p w14:paraId="31B58E85">
            <w:pPr>
              <w:adjustRightInd w:val="0"/>
              <w:snapToGrid w:val="0"/>
              <w:spacing w:line="360" w:lineRule="auto"/>
              <w:ind w:firstLine="480" w:firstLineChars="200"/>
              <w:rPr>
                <w:rFonts w:ascii="仿宋" w:hAnsi="仿宋" w:eastAsia="仿宋" w:cs="仿宋"/>
                <w:sz w:val="24"/>
              </w:rPr>
            </w:pPr>
          </w:p>
        </w:tc>
      </w:tr>
      <w:tr w14:paraId="1B18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539DAF4A">
            <w:pPr>
              <w:adjustRightInd w:val="0"/>
              <w:snapToGrid w:val="0"/>
              <w:spacing w:line="360" w:lineRule="auto"/>
              <w:ind w:firstLine="480" w:firstLineChars="200"/>
              <w:rPr>
                <w:rFonts w:ascii="仿宋" w:hAnsi="仿宋" w:eastAsia="仿宋" w:cs="仿宋"/>
                <w:sz w:val="24"/>
              </w:rPr>
            </w:pPr>
          </w:p>
        </w:tc>
        <w:tc>
          <w:tcPr>
            <w:tcW w:w="1503" w:type="dxa"/>
            <w:vAlign w:val="center"/>
          </w:tcPr>
          <w:p w14:paraId="08AC8FEA">
            <w:pPr>
              <w:adjustRightInd w:val="0"/>
              <w:snapToGrid w:val="0"/>
              <w:spacing w:line="360" w:lineRule="auto"/>
              <w:ind w:firstLine="480" w:firstLineChars="200"/>
              <w:rPr>
                <w:rFonts w:ascii="仿宋" w:hAnsi="仿宋" w:eastAsia="仿宋" w:cs="仿宋"/>
                <w:sz w:val="24"/>
              </w:rPr>
            </w:pPr>
          </w:p>
        </w:tc>
        <w:tc>
          <w:tcPr>
            <w:tcW w:w="1369" w:type="dxa"/>
            <w:vAlign w:val="center"/>
          </w:tcPr>
          <w:p w14:paraId="0B5A8DA6">
            <w:pPr>
              <w:adjustRightInd w:val="0"/>
              <w:snapToGrid w:val="0"/>
              <w:spacing w:line="360" w:lineRule="auto"/>
              <w:ind w:firstLine="480" w:firstLineChars="200"/>
              <w:rPr>
                <w:rFonts w:ascii="仿宋" w:hAnsi="仿宋" w:eastAsia="仿宋" w:cs="仿宋"/>
                <w:sz w:val="24"/>
              </w:rPr>
            </w:pPr>
          </w:p>
        </w:tc>
        <w:tc>
          <w:tcPr>
            <w:tcW w:w="995" w:type="dxa"/>
            <w:vAlign w:val="center"/>
          </w:tcPr>
          <w:p w14:paraId="16AE5F29">
            <w:pPr>
              <w:adjustRightInd w:val="0"/>
              <w:snapToGrid w:val="0"/>
              <w:spacing w:line="360" w:lineRule="auto"/>
              <w:ind w:firstLine="480" w:firstLineChars="200"/>
              <w:rPr>
                <w:rFonts w:ascii="仿宋" w:hAnsi="仿宋" w:eastAsia="仿宋" w:cs="仿宋"/>
                <w:sz w:val="24"/>
              </w:rPr>
            </w:pPr>
          </w:p>
        </w:tc>
        <w:tc>
          <w:tcPr>
            <w:tcW w:w="1134" w:type="dxa"/>
            <w:vAlign w:val="center"/>
          </w:tcPr>
          <w:p w14:paraId="37A84B6A">
            <w:pPr>
              <w:adjustRightInd w:val="0"/>
              <w:snapToGrid w:val="0"/>
              <w:spacing w:line="360" w:lineRule="auto"/>
              <w:ind w:firstLine="480" w:firstLineChars="200"/>
              <w:rPr>
                <w:rFonts w:ascii="仿宋" w:hAnsi="仿宋" w:eastAsia="仿宋" w:cs="仿宋"/>
                <w:sz w:val="24"/>
              </w:rPr>
            </w:pPr>
          </w:p>
        </w:tc>
        <w:tc>
          <w:tcPr>
            <w:tcW w:w="1002" w:type="dxa"/>
            <w:vAlign w:val="center"/>
          </w:tcPr>
          <w:p w14:paraId="3FE94D6F">
            <w:pPr>
              <w:adjustRightInd w:val="0"/>
              <w:snapToGrid w:val="0"/>
              <w:spacing w:line="360" w:lineRule="auto"/>
              <w:ind w:firstLine="480" w:firstLineChars="200"/>
              <w:rPr>
                <w:rFonts w:ascii="仿宋" w:hAnsi="仿宋" w:eastAsia="仿宋" w:cs="仿宋"/>
                <w:sz w:val="24"/>
              </w:rPr>
            </w:pPr>
          </w:p>
        </w:tc>
        <w:tc>
          <w:tcPr>
            <w:tcW w:w="1136" w:type="dxa"/>
            <w:vAlign w:val="center"/>
          </w:tcPr>
          <w:p w14:paraId="11032789">
            <w:pPr>
              <w:adjustRightInd w:val="0"/>
              <w:snapToGrid w:val="0"/>
              <w:spacing w:line="360" w:lineRule="auto"/>
              <w:ind w:firstLine="480" w:firstLineChars="200"/>
              <w:rPr>
                <w:rFonts w:ascii="仿宋" w:hAnsi="仿宋" w:eastAsia="仿宋" w:cs="仿宋"/>
                <w:sz w:val="24"/>
              </w:rPr>
            </w:pPr>
          </w:p>
        </w:tc>
        <w:tc>
          <w:tcPr>
            <w:tcW w:w="715" w:type="dxa"/>
            <w:vAlign w:val="center"/>
          </w:tcPr>
          <w:p w14:paraId="618A4494">
            <w:pPr>
              <w:adjustRightInd w:val="0"/>
              <w:snapToGrid w:val="0"/>
              <w:spacing w:line="360" w:lineRule="auto"/>
              <w:ind w:firstLine="480" w:firstLineChars="200"/>
              <w:rPr>
                <w:rFonts w:ascii="仿宋" w:hAnsi="仿宋" w:eastAsia="仿宋" w:cs="仿宋"/>
                <w:sz w:val="24"/>
              </w:rPr>
            </w:pPr>
          </w:p>
        </w:tc>
      </w:tr>
      <w:tr w14:paraId="70B5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35247E98">
            <w:pPr>
              <w:adjustRightInd w:val="0"/>
              <w:snapToGrid w:val="0"/>
              <w:spacing w:line="360" w:lineRule="auto"/>
              <w:ind w:firstLine="480" w:firstLineChars="200"/>
              <w:rPr>
                <w:rFonts w:ascii="仿宋" w:hAnsi="仿宋" w:eastAsia="仿宋" w:cs="仿宋"/>
                <w:sz w:val="24"/>
              </w:rPr>
            </w:pPr>
          </w:p>
        </w:tc>
        <w:tc>
          <w:tcPr>
            <w:tcW w:w="1503" w:type="dxa"/>
            <w:vAlign w:val="center"/>
          </w:tcPr>
          <w:p w14:paraId="7ED47A73">
            <w:pPr>
              <w:adjustRightInd w:val="0"/>
              <w:snapToGrid w:val="0"/>
              <w:spacing w:line="360" w:lineRule="auto"/>
              <w:ind w:firstLine="480" w:firstLineChars="200"/>
              <w:rPr>
                <w:rFonts w:ascii="仿宋" w:hAnsi="仿宋" w:eastAsia="仿宋" w:cs="仿宋"/>
                <w:sz w:val="24"/>
              </w:rPr>
            </w:pPr>
          </w:p>
        </w:tc>
        <w:tc>
          <w:tcPr>
            <w:tcW w:w="1369" w:type="dxa"/>
            <w:vAlign w:val="center"/>
          </w:tcPr>
          <w:p w14:paraId="112D8059">
            <w:pPr>
              <w:adjustRightInd w:val="0"/>
              <w:snapToGrid w:val="0"/>
              <w:spacing w:line="360" w:lineRule="auto"/>
              <w:ind w:firstLine="480" w:firstLineChars="200"/>
              <w:rPr>
                <w:rFonts w:ascii="仿宋" w:hAnsi="仿宋" w:eastAsia="仿宋" w:cs="仿宋"/>
                <w:sz w:val="24"/>
              </w:rPr>
            </w:pPr>
          </w:p>
        </w:tc>
        <w:tc>
          <w:tcPr>
            <w:tcW w:w="995" w:type="dxa"/>
            <w:vAlign w:val="center"/>
          </w:tcPr>
          <w:p w14:paraId="42A50D41">
            <w:pPr>
              <w:adjustRightInd w:val="0"/>
              <w:snapToGrid w:val="0"/>
              <w:spacing w:line="360" w:lineRule="auto"/>
              <w:ind w:firstLine="480" w:firstLineChars="200"/>
              <w:rPr>
                <w:rFonts w:ascii="仿宋" w:hAnsi="仿宋" w:eastAsia="仿宋" w:cs="仿宋"/>
                <w:sz w:val="24"/>
              </w:rPr>
            </w:pPr>
          </w:p>
        </w:tc>
        <w:tc>
          <w:tcPr>
            <w:tcW w:w="1134" w:type="dxa"/>
            <w:vAlign w:val="center"/>
          </w:tcPr>
          <w:p w14:paraId="11163EEA">
            <w:pPr>
              <w:adjustRightInd w:val="0"/>
              <w:snapToGrid w:val="0"/>
              <w:spacing w:line="360" w:lineRule="auto"/>
              <w:ind w:firstLine="480" w:firstLineChars="200"/>
              <w:rPr>
                <w:rFonts w:ascii="仿宋" w:hAnsi="仿宋" w:eastAsia="仿宋" w:cs="仿宋"/>
                <w:sz w:val="24"/>
              </w:rPr>
            </w:pPr>
          </w:p>
        </w:tc>
        <w:tc>
          <w:tcPr>
            <w:tcW w:w="1002" w:type="dxa"/>
            <w:vAlign w:val="center"/>
          </w:tcPr>
          <w:p w14:paraId="06708D87">
            <w:pPr>
              <w:adjustRightInd w:val="0"/>
              <w:snapToGrid w:val="0"/>
              <w:spacing w:line="360" w:lineRule="auto"/>
              <w:ind w:firstLine="480" w:firstLineChars="200"/>
              <w:rPr>
                <w:rFonts w:ascii="仿宋" w:hAnsi="仿宋" w:eastAsia="仿宋" w:cs="仿宋"/>
                <w:sz w:val="24"/>
              </w:rPr>
            </w:pPr>
          </w:p>
        </w:tc>
        <w:tc>
          <w:tcPr>
            <w:tcW w:w="1136" w:type="dxa"/>
            <w:vAlign w:val="center"/>
          </w:tcPr>
          <w:p w14:paraId="560EBDFB">
            <w:pPr>
              <w:adjustRightInd w:val="0"/>
              <w:snapToGrid w:val="0"/>
              <w:spacing w:line="360" w:lineRule="auto"/>
              <w:ind w:firstLine="480" w:firstLineChars="200"/>
              <w:rPr>
                <w:rFonts w:ascii="仿宋" w:hAnsi="仿宋" w:eastAsia="仿宋" w:cs="仿宋"/>
                <w:sz w:val="24"/>
              </w:rPr>
            </w:pPr>
          </w:p>
        </w:tc>
        <w:tc>
          <w:tcPr>
            <w:tcW w:w="715" w:type="dxa"/>
            <w:vAlign w:val="center"/>
          </w:tcPr>
          <w:p w14:paraId="725BDF4C">
            <w:pPr>
              <w:adjustRightInd w:val="0"/>
              <w:snapToGrid w:val="0"/>
              <w:spacing w:line="360" w:lineRule="auto"/>
              <w:ind w:firstLine="480" w:firstLineChars="200"/>
              <w:rPr>
                <w:rFonts w:ascii="仿宋" w:hAnsi="仿宋" w:eastAsia="仿宋" w:cs="仿宋"/>
                <w:sz w:val="24"/>
              </w:rPr>
            </w:pPr>
          </w:p>
        </w:tc>
      </w:tr>
      <w:tr w14:paraId="1366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43" w:type="dxa"/>
            <w:vAlign w:val="center"/>
          </w:tcPr>
          <w:p w14:paraId="638EC595">
            <w:pPr>
              <w:adjustRightInd w:val="0"/>
              <w:snapToGrid w:val="0"/>
              <w:spacing w:line="360" w:lineRule="auto"/>
              <w:ind w:firstLine="480" w:firstLineChars="200"/>
              <w:rPr>
                <w:rFonts w:ascii="仿宋" w:hAnsi="仿宋" w:eastAsia="仿宋" w:cs="仿宋"/>
                <w:sz w:val="24"/>
              </w:rPr>
            </w:pPr>
          </w:p>
        </w:tc>
        <w:tc>
          <w:tcPr>
            <w:tcW w:w="1503" w:type="dxa"/>
            <w:vAlign w:val="center"/>
          </w:tcPr>
          <w:p w14:paraId="72444B21">
            <w:pPr>
              <w:adjustRightInd w:val="0"/>
              <w:snapToGrid w:val="0"/>
              <w:spacing w:line="360" w:lineRule="auto"/>
              <w:ind w:firstLine="480" w:firstLineChars="200"/>
              <w:rPr>
                <w:rFonts w:ascii="仿宋" w:hAnsi="仿宋" w:eastAsia="仿宋" w:cs="仿宋"/>
                <w:sz w:val="24"/>
              </w:rPr>
            </w:pPr>
          </w:p>
        </w:tc>
        <w:tc>
          <w:tcPr>
            <w:tcW w:w="1369" w:type="dxa"/>
            <w:vAlign w:val="center"/>
          </w:tcPr>
          <w:p w14:paraId="3F59A942">
            <w:pPr>
              <w:adjustRightInd w:val="0"/>
              <w:snapToGrid w:val="0"/>
              <w:spacing w:line="360" w:lineRule="auto"/>
              <w:ind w:firstLine="480" w:firstLineChars="200"/>
              <w:rPr>
                <w:rFonts w:ascii="仿宋" w:hAnsi="仿宋" w:eastAsia="仿宋" w:cs="仿宋"/>
                <w:sz w:val="24"/>
              </w:rPr>
            </w:pPr>
          </w:p>
        </w:tc>
        <w:tc>
          <w:tcPr>
            <w:tcW w:w="995" w:type="dxa"/>
            <w:vAlign w:val="center"/>
          </w:tcPr>
          <w:p w14:paraId="68C05432">
            <w:pPr>
              <w:adjustRightInd w:val="0"/>
              <w:snapToGrid w:val="0"/>
              <w:spacing w:line="360" w:lineRule="auto"/>
              <w:ind w:firstLine="480" w:firstLineChars="200"/>
              <w:rPr>
                <w:rFonts w:ascii="仿宋" w:hAnsi="仿宋" w:eastAsia="仿宋" w:cs="仿宋"/>
                <w:sz w:val="24"/>
              </w:rPr>
            </w:pPr>
          </w:p>
        </w:tc>
        <w:tc>
          <w:tcPr>
            <w:tcW w:w="1134" w:type="dxa"/>
            <w:vAlign w:val="center"/>
          </w:tcPr>
          <w:p w14:paraId="30E5C261">
            <w:pPr>
              <w:adjustRightInd w:val="0"/>
              <w:snapToGrid w:val="0"/>
              <w:spacing w:line="360" w:lineRule="auto"/>
              <w:ind w:firstLine="480" w:firstLineChars="200"/>
              <w:rPr>
                <w:rFonts w:ascii="仿宋" w:hAnsi="仿宋" w:eastAsia="仿宋" w:cs="仿宋"/>
                <w:sz w:val="24"/>
              </w:rPr>
            </w:pPr>
          </w:p>
        </w:tc>
        <w:tc>
          <w:tcPr>
            <w:tcW w:w="1002" w:type="dxa"/>
            <w:vAlign w:val="center"/>
          </w:tcPr>
          <w:p w14:paraId="35F0BFB6">
            <w:pPr>
              <w:adjustRightInd w:val="0"/>
              <w:snapToGrid w:val="0"/>
              <w:spacing w:line="360" w:lineRule="auto"/>
              <w:ind w:firstLine="480" w:firstLineChars="200"/>
              <w:rPr>
                <w:rFonts w:ascii="仿宋" w:hAnsi="仿宋" w:eastAsia="仿宋" w:cs="仿宋"/>
                <w:sz w:val="24"/>
              </w:rPr>
            </w:pPr>
          </w:p>
        </w:tc>
        <w:tc>
          <w:tcPr>
            <w:tcW w:w="1136" w:type="dxa"/>
            <w:vAlign w:val="center"/>
          </w:tcPr>
          <w:p w14:paraId="6627CCC2">
            <w:pPr>
              <w:adjustRightInd w:val="0"/>
              <w:snapToGrid w:val="0"/>
              <w:spacing w:line="360" w:lineRule="auto"/>
              <w:ind w:firstLine="480" w:firstLineChars="200"/>
              <w:rPr>
                <w:rFonts w:ascii="仿宋" w:hAnsi="仿宋" w:eastAsia="仿宋" w:cs="仿宋"/>
                <w:sz w:val="24"/>
              </w:rPr>
            </w:pPr>
          </w:p>
        </w:tc>
        <w:tc>
          <w:tcPr>
            <w:tcW w:w="715" w:type="dxa"/>
            <w:vAlign w:val="center"/>
          </w:tcPr>
          <w:p w14:paraId="79DA1A90">
            <w:pPr>
              <w:adjustRightInd w:val="0"/>
              <w:snapToGrid w:val="0"/>
              <w:spacing w:line="360" w:lineRule="auto"/>
              <w:ind w:firstLine="480" w:firstLineChars="200"/>
              <w:rPr>
                <w:rFonts w:ascii="仿宋" w:hAnsi="仿宋" w:eastAsia="仿宋" w:cs="仿宋"/>
                <w:sz w:val="24"/>
              </w:rPr>
            </w:pPr>
          </w:p>
        </w:tc>
      </w:tr>
      <w:tr w14:paraId="4FB8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3515" w:type="dxa"/>
            <w:gridSpan w:val="3"/>
            <w:vAlign w:val="center"/>
          </w:tcPr>
          <w:p w14:paraId="48C6EB0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合计</w:t>
            </w:r>
          </w:p>
        </w:tc>
        <w:tc>
          <w:tcPr>
            <w:tcW w:w="4982" w:type="dxa"/>
            <w:gridSpan w:val="5"/>
            <w:vAlign w:val="center"/>
          </w:tcPr>
          <w:p w14:paraId="46D8EA34">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大写：</w:t>
            </w:r>
          </w:p>
          <w:p w14:paraId="4FDA97E6">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小写：</w:t>
            </w:r>
          </w:p>
        </w:tc>
      </w:tr>
    </w:tbl>
    <w:p w14:paraId="44F023B7">
      <w:pPr>
        <w:adjustRightInd w:val="0"/>
        <w:snapToGrid w:val="0"/>
        <w:spacing w:line="460" w:lineRule="exact"/>
        <w:ind w:firstLine="475" w:firstLineChars="198"/>
        <w:rPr>
          <w:rFonts w:hint="eastAsia" w:ascii="仿宋" w:hAnsi="仿宋" w:eastAsia="仿宋" w:cs="仿宋"/>
          <w:sz w:val="24"/>
          <w:szCs w:val="24"/>
        </w:rPr>
      </w:pPr>
    </w:p>
    <w:sectPr>
      <w:headerReference r:id="rId5" w:type="default"/>
      <w:footerReference r:id="rId6" w:type="default"/>
      <w:pgSz w:w="11906" w:h="16838"/>
      <w:pgMar w:top="1440" w:right="1417" w:bottom="1440" w:left="141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3"/>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3"/>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3"/>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12F5F9F"/>
    <w:rsid w:val="03BF08B1"/>
    <w:rsid w:val="05852631"/>
    <w:rsid w:val="09EB29C1"/>
    <w:rsid w:val="18BA03EC"/>
    <w:rsid w:val="2233286E"/>
    <w:rsid w:val="2CA222C0"/>
    <w:rsid w:val="2CD84875"/>
    <w:rsid w:val="2F8C4A43"/>
    <w:rsid w:val="3D7E72F0"/>
    <w:rsid w:val="45D95571"/>
    <w:rsid w:val="4C38704B"/>
    <w:rsid w:val="4DAB0F73"/>
    <w:rsid w:val="510559A1"/>
    <w:rsid w:val="51DD4068"/>
    <w:rsid w:val="53524554"/>
    <w:rsid w:val="53FA5D70"/>
    <w:rsid w:val="61712B04"/>
    <w:rsid w:val="63893E89"/>
    <w:rsid w:val="63DE7A41"/>
    <w:rsid w:val="64CA64E1"/>
    <w:rsid w:val="66BF260E"/>
    <w:rsid w:val="6EC95E08"/>
    <w:rsid w:val="70A66401"/>
    <w:rsid w:val="71AD37BF"/>
    <w:rsid w:val="74277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Times New Roman" w:hAnsi="Times New Roman" w:eastAsia="仿宋"/>
      <w:kern w:val="0"/>
      <w:sz w:val="28"/>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1"/>
    <w:next w:val="1"/>
    <w:qFormat/>
    <w:uiPriority w:val="0"/>
    <w:pPr>
      <w:ind w:left="1260" w:leftChars="600"/>
    </w:pPr>
  </w:style>
  <w:style w:type="paragraph" w:styleId="8">
    <w:name w:val="caption"/>
    <w:basedOn w:val="1"/>
    <w:next w:val="1"/>
    <w:qFormat/>
    <w:uiPriority w:val="0"/>
    <w:pPr>
      <w:keepNext w:val="0"/>
      <w:keepLines w:val="0"/>
      <w:widowControl w:val="0"/>
      <w:suppressLineNumbers w:val="0"/>
      <w:spacing w:before="0" w:beforeAutospacing="0" w:after="0" w:afterAutospacing="0" w:line="400" w:lineRule="exact"/>
      <w:ind w:left="0" w:right="0"/>
      <w:jc w:val="both"/>
    </w:pPr>
    <w:rPr>
      <w:rFonts w:ascii="Arial" w:hAnsi="Arial" w:eastAsia="黑体" w:cs="Times New Roman"/>
      <w:kern w:val="0"/>
      <w:sz w:val="20"/>
      <w:szCs w:val="20"/>
      <w:lang w:val="en-US" w:eastAsia="zh-CN" w:bidi="ar"/>
    </w:rPr>
  </w:style>
  <w:style w:type="paragraph" w:styleId="9">
    <w:name w:val="Body Text"/>
    <w:basedOn w:val="1"/>
    <w:next w:val="1"/>
    <w:qFormat/>
    <w:uiPriority w:val="0"/>
    <w:rPr>
      <w:color w:val="993300"/>
      <w:sz w:val="24"/>
    </w:rPr>
  </w:style>
  <w:style w:type="paragraph" w:styleId="10">
    <w:name w:val="Body Text Indent"/>
    <w:basedOn w:val="1"/>
    <w:next w:val="11"/>
    <w:qFormat/>
    <w:uiPriority w:val="0"/>
    <w:pPr>
      <w:tabs>
        <w:tab w:val="left" w:pos="8640"/>
      </w:tabs>
      <w:ind w:firstLine="420"/>
    </w:pPr>
    <w:rPr>
      <w:rFonts w:ascii="楷体_GB2312" w:eastAsia="楷体_GB2312"/>
      <w:color w:val="000000"/>
      <w:sz w:val="28"/>
    </w:rPr>
  </w:style>
  <w:style w:type="paragraph" w:styleId="11">
    <w:name w:val="envelope return"/>
    <w:basedOn w:val="1"/>
    <w:unhideWhenUsed/>
    <w:qFormat/>
    <w:uiPriority w:val="99"/>
    <w:pPr>
      <w:snapToGrid w:val="0"/>
    </w:pPr>
    <w:rPr>
      <w:rFonts w:ascii="Arial" w:hAnsi="Arial"/>
    </w:rPr>
  </w:style>
  <w:style w:type="paragraph" w:styleId="12">
    <w:name w:val="Body Text Indent 2"/>
    <w:basedOn w:val="1"/>
    <w:qFormat/>
    <w:uiPriority w:val="0"/>
    <w:pPr>
      <w:spacing w:after="120" w:line="480" w:lineRule="auto"/>
      <w:ind w:left="420" w:leftChars="200"/>
    </w:pPr>
    <w:rPr>
      <w:rFonts w:ascii="Times New Roman" w:hAnsi="Times New Roman"/>
      <w:szCs w:val="20"/>
    </w:rPr>
  </w:style>
  <w:style w:type="paragraph" w:styleId="1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6">
    <w:name w:val="Body Text First Indent"/>
    <w:basedOn w:val="9"/>
    <w:next w:val="17"/>
    <w:qFormat/>
    <w:uiPriority w:val="0"/>
    <w:pPr>
      <w:adjustRightInd w:val="0"/>
      <w:ind w:firstLine="420"/>
      <w:textAlignment w:val="baseline"/>
    </w:pPr>
    <w:rPr>
      <w:sz w:val="21"/>
    </w:rPr>
  </w:style>
  <w:style w:type="paragraph" w:styleId="17">
    <w:name w:val="Body Text First Indent 2"/>
    <w:basedOn w:val="10"/>
    <w:next w:val="1"/>
    <w:qFormat/>
    <w:uiPriority w:val="0"/>
    <w:pPr>
      <w:ind w:firstLine="200" w:firstLineChars="200"/>
    </w:pPr>
  </w:style>
  <w:style w:type="paragraph" w:customStyle="1" w:styleId="20">
    <w:name w:val="样式 首行缩进:  2 字符"/>
    <w:basedOn w:val="1"/>
    <w:qFormat/>
    <w:uiPriority w:val="0"/>
    <w:pPr>
      <w:spacing w:line="400" w:lineRule="exact"/>
      <w:ind w:firstLine="200" w:firstLineChars="200"/>
    </w:pPr>
    <w:rPr>
      <w:rFonts w:cs="宋体"/>
      <w:szCs w:val="24"/>
    </w:rPr>
  </w:style>
  <w:style w:type="paragraph" w:styleId="21">
    <w:name w:val="List Paragraph"/>
    <w:basedOn w:val="1"/>
    <w:qFormat/>
    <w:uiPriority w:val="34"/>
    <w:pPr>
      <w:ind w:firstLine="420" w:firstLineChars="200"/>
    </w:pPr>
    <w:rPr>
      <w:rFonts w:ascii="Calibri" w:hAnsi="Calibri" w:eastAsia="宋体" w:cs="Times New Roman"/>
      <w:szCs w:val="22"/>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3329</Words>
  <Characters>3367</Characters>
  <DocSecurity>0</DocSecurity>
  <Lines>0</Lines>
  <Paragraphs>0</Paragraphs>
  <ScaleCrop>false</ScaleCrop>
  <LinksUpToDate>false</LinksUpToDate>
  <CharactersWithSpaces>3869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terms:modified xsi:type="dcterms:W3CDTF">2026-08-28T10:36:02Z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25C21823862741149700E52C4743916C_13</vt:lpwstr>
  </property>
  <property fmtid="{D5CDD505-2E9C-101B-9397-08002B2CF9AE}" pid="4" name="KSOTemplateDocerSaveRecord">
    <vt:lpwstr>eyJoZGlkIjoiZmRkY2E3ZDMwNjI1NzZjOWQxN2ExNjQwYmJlMmEyMTEiLCJ1c2VySWQiOiI4NTg5NjU4NDUifQ==</vt:lpwstr>
  </property>
</Properties>
</file>