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版本号：YC26310002（CG）20260612001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商洛市国土空间总体规划2025年度动态维护方案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YC26310002（CG）</w:t>
      </w:r>
      <w:r>
        <w:br/>
      </w:r>
      <w:r>
        <w:br/>
      </w:r>
      <w:r>
        <w:br/>
      </w:r>
    </w:p>
    <w:p>
      <w:pPr>
        <w:pStyle w:val="null3"/>
        <w:jc w:val="center"/>
        <w:outlineLvl w:val="2"/>
      </w:pPr>
      <w:r>
        <w:rPr>
          <w:rFonts w:ascii="仿宋_GB2312" w:hAnsi="仿宋_GB2312" w:cs="仿宋_GB2312" w:eastAsia="仿宋_GB2312"/>
          <w:sz w:val="28"/>
          <w:b/>
        </w:rPr>
        <w:t>商洛市自然资源局</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商洛市自然资源局</w:t>
      </w:r>
      <w:r>
        <w:rPr>
          <w:rFonts w:ascii="仿宋_GB2312" w:hAnsi="仿宋_GB2312" w:cs="仿宋_GB2312" w:eastAsia="仿宋_GB2312"/>
        </w:rPr>
        <w:t>委托，拟对</w:t>
      </w:r>
      <w:r>
        <w:rPr>
          <w:rFonts w:ascii="仿宋_GB2312" w:hAnsi="仿宋_GB2312" w:cs="仿宋_GB2312" w:eastAsia="仿宋_GB2312"/>
        </w:rPr>
        <w:t>商洛市国土空间总体规划2025年度动态维护方案</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YC26310002（CG）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商洛市国土空间总体规划2025年度动态维护方案</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陕西省自然资源厅关于支撑“十五五”高质量发展动态调整完善国土空间规划的通知（试行）》和《陕西省自然资源厅国土空间规划局关于转发国土空间总体规划动态调整完善有关文件的通知》要求，开展商洛市国土空间总体规划2025年度动态维护方案编制工作。该方案编制主要内容包括：衔接2024年度城市体检评估结论、2025年规划实施情况及2026年项目保障需求，从“三线”管控、规划分区、用地分类、重点项目清单等方面系统编制市级方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采购包1（商洛市国土空间总体规划2025年度动态维护方案）：属于专门面向中小企业采购。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1）具有独立承担民事责任能力的法人或其他组织，提供合法有效的营业执照等证明文件；（2）投标人应授权合法的人员参加投标全过程，其中法定代表人直接参加投标的，须出具法人身份证，并与营业执照上信息一致。法定代表人授权代表参加投标的，须出具法定代表人授权书及授权代表身份证；（3）提供投标文件递交截止时间前一年内任意三个月已缴纳的社保缴费凭据或社保机构开具的社会保险参保缴费情况证明（依法不需要缴纳社会保障资金的投标人应提供相关证明）；（4）提供投标文件递交截止时间前一年内任意三个月已缴纳的纳税证明或完税证明，依法免税的单位应提供相关证明材料； （5）提供参加政府采购活动前3年内在经营活动中没有重大违法记录的书面声明；(6)提供具有履行本合同所必需的设备和专业技术能力的说明及承诺；（7）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8）供应商须具有土地规划编制乙级或城乡规划编制乙级及以上资质；项目负责人须具备注册城乡规划师资质证书，且在本单位注册。</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商洛市商州区名人街社区252号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任卫卫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0914-2380826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郭会云、赵醒文、张耀峰，赵利科，李楠，董海龙，屈小军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0914-2990922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开户名称：亿诚建设项目管理有限公司</w:t>
            </w:r>
          </w:p>
          <w:p>
            <w:pPr>
              <w:pStyle w:val="null3"/>
            </w:pPr>
            <w:r>
              <w:rPr>
                <w:rFonts w:ascii="仿宋_GB2312" w:hAnsi="仿宋_GB2312" w:cs="仿宋_GB2312" w:eastAsia="仿宋_GB2312"/>
              </w:rPr>
              <w:t>开户银行：平安银行西安吉祥路支行</w:t>
            </w:r>
          </w:p>
          <w:p>
            <w:pPr>
              <w:pStyle w:val="null3"/>
            </w:pPr>
            <w:r>
              <w:rPr>
                <w:rFonts w:ascii="仿宋_GB2312" w:hAnsi="仿宋_GB2312" w:cs="仿宋_GB2312" w:eastAsia="仿宋_GB2312"/>
              </w:rPr>
              <w:t>银行账号：30205199004650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代理服务费收费标准：按国家发改委文件计价格〔2002〕1980号及发改价格〔2011〕534号文件规定标准计取。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商洛市自然资源局</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联系人：郭会云</w:t>
      </w:r>
    </w:p>
    <w:p>
      <w:pPr>
        <w:pStyle w:val="null3"/>
      </w:pPr>
      <w:r>
        <w:rPr>
          <w:rFonts w:ascii="仿宋_GB2312" w:hAnsi="仿宋_GB2312" w:cs="仿宋_GB2312" w:eastAsia="仿宋_GB2312"/>
        </w:rPr>
        <w:t>联系电话：0914-2990922</w:t>
      </w:r>
    </w:p>
    <w:p>
      <w:pPr>
        <w:pStyle w:val="null3"/>
      </w:pPr>
      <w:r>
        <w:rPr>
          <w:rFonts w:ascii="仿宋_GB2312" w:hAnsi="仿宋_GB2312" w:cs="仿宋_GB2312" w:eastAsia="仿宋_GB2312"/>
        </w:rPr>
        <w:t>地址：商洛市商州区丹江一品饮食一条街2-22（亿诚公司）</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根据《陕西省自然资源厅关于支撑“十五五”高质量发展动态调整完善国土空间规划的通知（试行）》和《陕西省自然资源厅国土空间规划局关于转发国土空间总体规划动态调整完善有关文件的通知》要求，开展商洛市国土空间总体规划2025年度动态维护方案编制工作。该方案编制主要内容包括：衔接2024年度城市体检评估结论、2025年规划实施情况及2026年项目保障需求，从“三线”管控、规划分区、用地分类、重点项目清单等方面系统编制市级方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商洛市国土空间总体规划2025年度动态维护方案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标的名称：商洛市国土空间总体规划2025年度动态维护方案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根据《陕西省自然资源厅关于支撑“十五五”高质量发展动态调整完善国土空间规划的通知（试行）》和《陕西省自然资源厅国土空间规划局关于转发国土空间总体规划动态调整完善有关文件的通知》要求，开展商洛市国土空间总体规划2025年度动态维护方案编制工作。该方案编制主要内容包括：衔接2024年度城市体检评估结论、2025年规划实施情况及2026年项目保障需求，从“三线”管控、规划分区、用地分类、重点项目清单等方面系统编制市级方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二、服务要求</w:t>
            </w:r>
          </w:p>
          <w:p>
            <w:pPr>
              <w:pStyle w:val="null3"/>
              <w:ind w:firstLine="412"/>
            </w:pPr>
            <w:r>
              <w:rPr>
                <w:rFonts w:ascii="仿宋_GB2312" w:hAnsi="仿宋_GB2312" w:cs="仿宋_GB2312" w:eastAsia="仿宋_GB2312"/>
                <w:sz w:val="21"/>
              </w:rPr>
              <w:t>一）、保密要求</w:t>
            </w:r>
          </w:p>
          <w:p>
            <w:pPr>
              <w:pStyle w:val="null3"/>
              <w:ind w:firstLine="412"/>
            </w:pPr>
            <w:r>
              <w:rPr>
                <w:rFonts w:ascii="仿宋_GB2312" w:hAnsi="仿宋_GB2312" w:cs="仿宋_GB2312" w:eastAsia="仿宋_GB2312"/>
                <w:sz w:val="21"/>
              </w:rPr>
              <w:t>1.供应商应严格遵守国家有关数据安全保密的有关法律法规，确保数据安全。</w:t>
            </w:r>
          </w:p>
          <w:p>
            <w:pPr>
              <w:pStyle w:val="null3"/>
              <w:ind w:firstLine="412"/>
            </w:pPr>
            <w:r>
              <w:rPr>
                <w:rFonts w:ascii="仿宋_GB2312" w:hAnsi="仿宋_GB2312" w:cs="仿宋_GB2312" w:eastAsia="仿宋_GB2312"/>
                <w:sz w:val="21"/>
              </w:rPr>
              <w:t>2.供应商应确保研究结果科学、正确，符合采购方的相关要求。不得向其他无关人员透露科研结果等有关信息。</w:t>
            </w:r>
          </w:p>
          <w:p>
            <w:pPr>
              <w:pStyle w:val="null3"/>
              <w:ind w:firstLine="412"/>
            </w:pPr>
            <w:r>
              <w:rPr>
                <w:rFonts w:ascii="仿宋_GB2312" w:hAnsi="仿宋_GB2312" w:cs="仿宋_GB2312" w:eastAsia="仿宋_GB2312"/>
                <w:sz w:val="21"/>
              </w:rPr>
              <w:t>3.供应商严格遵守采购方的保密管理规定，确保相关工作在采购方规定的内网环境中安全运行。</w:t>
            </w:r>
          </w:p>
          <w:p>
            <w:pPr>
              <w:pStyle w:val="null3"/>
              <w:ind w:firstLine="412"/>
            </w:pPr>
            <w:r>
              <w:rPr>
                <w:rFonts w:ascii="仿宋_GB2312" w:hAnsi="仿宋_GB2312" w:cs="仿宋_GB2312" w:eastAsia="仿宋_GB2312"/>
                <w:sz w:val="21"/>
              </w:rPr>
              <w:t>二）、人员要求</w:t>
            </w:r>
          </w:p>
          <w:p>
            <w:pPr>
              <w:pStyle w:val="null3"/>
              <w:ind w:firstLine="412"/>
            </w:pPr>
            <w:r>
              <w:rPr>
                <w:rFonts w:ascii="仿宋_GB2312" w:hAnsi="仿宋_GB2312" w:cs="仿宋_GB2312" w:eastAsia="仿宋_GB2312"/>
                <w:sz w:val="21"/>
              </w:rPr>
              <w:t>1.人员数量要求：为保证项目进度，供应商应承诺投入本项目的工作人员数量充足，能够保证项目顺利实施。</w:t>
            </w:r>
          </w:p>
          <w:p>
            <w:pPr>
              <w:pStyle w:val="null3"/>
              <w:ind w:firstLine="412"/>
            </w:pPr>
            <w:r>
              <w:rPr>
                <w:rFonts w:ascii="仿宋_GB2312" w:hAnsi="仿宋_GB2312" w:cs="仿宋_GB2312" w:eastAsia="仿宋_GB2312"/>
                <w:sz w:val="21"/>
              </w:rPr>
              <w:t>2.项目负责人应具备项目所需的专业职称和相关工作经验，能够独立带领团队完成工作内容，具有良好的沟通能力，对待工作认真负责且担任相关工作技术负责人 3 年及以上。</w:t>
            </w:r>
          </w:p>
          <w:p>
            <w:pPr>
              <w:pStyle w:val="null3"/>
              <w:ind w:firstLine="412"/>
            </w:pPr>
            <w:r>
              <w:rPr>
                <w:rFonts w:ascii="仿宋_GB2312" w:hAnsi="仿宋_GB2312" w:cs="仿宋_GB2312" w:eastAsia="仿宋_GB2312"/>
                <w:sz w:val="21"/>
              </w:rPr>
              <w:t>3.供应商拟派遣的人员不能为已经在采购方同期其他项目提供服务的人员。</w:t>
            </w:r>
          </w:p>
          <w:p>
            <w:pPr>
              <w:pStyle w:val="null3"/>
              <w:ind w:firstLine="412"/>
            </w:pPr>
            <w:r>
              <w:rPr>
                <w:rFonts w:ascii="仿宋_GB2312" w:hAnsi="仿宋_GB2312" w:cs="仿宋_GB2312" w:eastAsia="仿宋_GB2312"/>
                <w:sz w:val="21"/>
              </w:rPr>
              <w:t>4.供应商选派本项目的技术负责人不得随意更换，如需更换人员，需经采购人同意，并且更换人员与投标承诺人员具有同等或以上的经验和相关证书。</w:t>
            </w:r>
          </w:p>
          <w:p>
            <w:pPr>
              <w:pStyle w:val="null3"/>
              <w:ind w:firstLine="412"/>
            </w:pPr>
            <w:r>
              <w:rPr>
                <w:rFonts w:ascii="仿宋_GB2312" w:hAnsi="仿宋_GB2312" w:cs="仿宋_GB2312" w:eastAsia="仿宋_GB2312"/>
                <w:sz w:val="21"/>
              </w:rPr>
              <w:t>5.供应商需承诺本项目拟投入人员的真实性，采购人将按照供应商投标文件列入人员名单核对实际投入项目工作的技术人员。如需更换人员，需经采购人同意，并且更换人员与原人员具有同等或以上的资质。</w:t>
            </w:r>
          </w:p>
          <w:p>
            <w:pPr>
              <w:pStyle w:val="null3"/>
              <w:ind w:firstLine="412"/>
            </w:pPr>
            <w:r>
              <w:rPr>
                <w:rFonts w:ascii="仿宋_GB2312" w:hAnsi="仿宋_GB2312" w:cs="仿宋_GB2312" w:eastAsia="仿宋_GB2312"/>
                <w:sz w:val="21"/>
              </w:rPr>
              <w:t>6.供应商选派本项目的技术人员应及时到位、及时处理采购方关于项目相关的工作安排。</w:t>
            </w:r>
          </w:p>
          <w:p>
            <w:pPr>
              <w:pStyle w:val="null3"/>
              <w:ind w:firstLine="412"/>
            </w:pPr>
            <w:r>
              <w:rPr>
                <w:rFonts w:ascii="仿宋_GB2312" w:hAnsi="仿宋_GB2312" w:cs="仿宋_GB2312" w:eastAsia="仿宋_GB2312"/>
                <w:sz w:val="21"/>
              </w:rPr>
              <w:t>三）、项目工作场地及设备要求</w:t>
            </w:r>
          </w:p>
          <w:p>
            <w:pPr>
              <w:pStyle w:val="null3"/>
            </w:pPr>
            <w:r>
              <w:rPr>
                <w:rFonts w:ascii="仿宋_GB2312" w:hAnsi="仿宋_GB2312" w:cs="仿宋_GB2312" w:eastAsia="仿宋_GB2312"/>
                <w:sz w:val="21"/>
              </w:rPr>
              <w:t xml:space="preserve">  按采购人要求，供应商须在采购人统一安排的地点完成工作任务。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12"/>
            </w:pPr>
            <w:r>
              <w:rPr>
                <w:rFonts w:ascii="仿宋_GB2312" w:hAnsi="仿宋_GB2312" w:cs="仿宋_GB2312" w:eastAsia="仿宋_GB2312"/>
                <w:sz w:val="21"/>
              </w:rPr>
              <w:t>三、工作内容</w:t>
            </w:r>
          </w:p>
          <w:p>
            <w:pPr>
              <w:pStyle w:val="null3"/>
              <w:ind w:firstLine="412"/>
            </w:pPr>
            <w:r>
              <w:rPr>
                <w:rFonts w:ascii="仿宋_GB2312" w:hAnsi="仿宋_GB2312" w:cs="仿宋_GB2312" w:eastAsia="仿宋_GB2312"/>
                <w:sz w:val="21"/>
              </w:rPr>
              <w:t>充分衔接市级2024年度国土空间规划城市体检评估结论、2025年规划变化情况、2025年项目保障等，编制市级2025年度动态维护方案。市级动态维护方案编制包括耕地和永久基本农田保护红线、生态保护红线、城镇开发边界、规划分区、中心城区用地分类、其他重要控制线、重点项目建设清单、空间协调与实施保障等8个方面内容。</w:t>
            </w:r>
          </w:p>
          <w:p>
            <w:pPr>
              <w:pStyle w:val="null3"/>
              <w:ind w:firstLine="412"/>
            </w:pPr>
            <w:r>
              <w:rPr>
                <w:rFonts w:ascii="仿宋_GB2312" w:hAnsi="仿宋_GB2312" w:cs="仿宋_GB2312" w:eastAsia="仿宋_GB2312"/>
                <w:sz w:val="21"/>
              </w:rPr>
              <w:t>成果资料要求：</w:t>
            </w:r>
          </w:p>
          <w:p>
            <w:pPr>
              <w:pStyle w:val="null3"/>
              <w:ind w:firstLine="412"/>
            </w:pPr>
            <w:r>
              <w:rPr>
                <w:rFonts w:ascii="仿宋_GB2312" w:hAnsi="仿宋_GB2312" w:cs="仿宋_GB2312" w:eastAsia="仿宋_GB2312"/>
                <w:sz w:val="21"/>
              </w:rPr>
              <w:t>1.文本：按照编制参考提纲编制文本，包含总则、规划实施评估、正向优化的必要性和可行性分析、动态维护方案、优化成效等；</w:t>
            </w:r>
          </w:p>
          <w:p>
            <w:pPr>
              <w:pStyle w:val="null3"/>
              <w:ind w:firstLine="412"/>
            </w:pPr>
            <w:r>
              <w:rPr>
                <w:rFonts w:ascii="仿宋_GB2312" w:hAnsi="仿宋_GB2312" w:cs="仿宋_GB2312" w:eastAsia="仿宋_GB2312"/>
                <w:sz w:val="21"/>
              </w:rPr>
              <w:t>2.图件：包括但不限于永久基本农田正向优化图、生态保护红线正向优化图、城镇开发边界正向优化图、国土空间用地用海规划分区正向优化图、中心城区土地使用规划正向优化图、中心城区控制线规划正向优化图等。</w:t>
            </w:r>
          </w:p>
          <w:p>
            <w:pPr>
              <w:pStyle w:val="null3"/>
              <w:ind w:firstLine="412"/>
            </w:pPr>
            <w:r>
              <w:rPr>
                <w:rFonts w:ascii="仿宋_GB2312" w:hAnsi="仿宋_GB2312" w:cs="仿宋_GB2312" w:eastAsia="仿宋_GB2312"/>
                <w:sz w:val="21"/>
              </w:rPr>
              <w:t>3.附表：①重点建设项目增补表；②动态维护评估指标指引表；③正向优化调整表等。</w:t>
            </w:r>
          </w:p>
          <w:p>
            <w:pPr>
              <w:pStyle w:val="null3"/>
              <w:ind w:firstLine="412"/>
            </w:pPr>
            <w:r>
              <w:rPr>
                <w:rFonts w:ascii="仿宋_GB2312" w:hAnsi="仿宋_GB2312" w:cs="仿宋_GB2312" w:eastAsia="仿宋_GB2312"/>
                <w:sz w:val="21"/>
              </w:rPr>
              <w:t>4.数据库：按照自然资源部国土空间规划局关于征求《国土空间总体规划动态维护成果数据要求》意见的函（自然资空间规划函〔2026〕44号）等国省技术要求，编制完成动态维护方案数据库。</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12"/>
            </w:pPr>
            <w:r>
              <w:rPr>
                <w:rFonts w:ascii="仿宋_GB2312" w:hAnsi="仿宋_GB2312" w:cs="仿宋_GB2312" w:eastAsia="仿宋_GB2312"/>
                <w:sz w:val="21"/>
              </w:rPr>
              <w:t>四、质量要求</w:t>
            </w:r>
          </w:p>
          <w:p>
            <w:pPr>
              <w:pStyle w:val="null3"/>
              <w:ind w:firstLine="412"/>
            </w:pPr>
            <w:r>
              <w:rPr>
                <w:rFonts w:ascii="仿宋_GB2312" w:hAnsi="仿宋_GB2312" w:cs="仿宋_GB2312" w:eastAsia="仿宋_GB2312"/>
                <w:sz w:val="21"/>
              </w:rPr>
              <w:t>1.服务质量：成果需符合《陕西省自然资源厅关于支撑“十五五 ”高质量发展动态调整完善国土空间规划的通知（试行）》（陕自然资源发〔2026〕212号）及相关政策文件要求，矢量数据满足国土空间规划“一张图 ”入库要求。</w:t>
            </w:r>
          </w:p>
          <w:p>
            <w:pPr>
              <w:pStyle w:val="null3"/>
              <w:ind w:firstLine="412"/>
            </w:pPr>
            <w:r>
              <w:rPr>
                <w:rFonts w:ascii="仿宋_GB2312" w:hAnsi="仿宋_GB2312" w:cs="仿宋_GB2312" w:eastAsia="仿宋_GB2312"/>
                <w:sz w:val="21"/>
              </w:rPr>
              <w:t>2.标准：符合《陕西省国土空间总体规划2026年度动态完善工作技术指南（试行，第二版）》及部省其他相关文件要求。</w:t>
            </w:r>
          </w:p>
          <w:p>
            <w:pPr>
              <w:pStyle w:val="null3"/>
              <w:ind w:firstLine="412"/>
            </w:pPr>
            <w:r>
              <w:rPr>
                <w:rFonts w:ascii="仿宋_GB2312" w:hAnsi="仿宋_GB2312" w:cs="仿宋_GB2312" w:eastAsia="仿宋_GB2312"/>
                <w:sz w:val="21"/>
              </w:rPr>
              <w:t>3.结合国土空间规划体检评估中提出的实施重点难点、突出问题和新的发展要求，充分论证开展动态维护的必要性、可行性，强化正向优化成效分析，使国土空间功能更完善 、布局更合理、安全韧性水平有提升、用地更节约集约。</w:t>
            </w:r>
          </w:p>
          <w:p>
            <w:pPr>
              <w:pStyle w:val="null3"/>
              <w:ind w:firstLine="412"/>
            </w:pPr>
            <w:r>
              <w:rPr>
                <w:rFonts w:ascii="仿宋_GB2312" w:hAnsi="仿宋_GB2312" w:cs="仿宋_GB2312" w:eastAsia="仿宋_GB2312"/>
                <w:sz w:val="21"/>
              </w:rPr>
              <w:t>4.项目涉及的数据保密性和备份恢复须遵循国家测绘地理信息保密安全要求。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ind w:firstLine="412"/>
            </w:pPr>
            <w:r>
              <w:rPr>
                <w:rFonts w:ascii="仿宋_GB2312" w:hAnsi="仿宋_GB2312" w:cs="仿宋_GB2312" w:eastAsia="仿宋_GB2312"/>
                <w:sz w:val="21"/>
              </w:rPr>
              <w:t>五、结算方式</w:t>
            </w:r>
          </w:p>
          <w:p>
            <w:pPr>
              <w:pStyle w:val="null3"/>
              <w:ind w:firstLine="412"/>
            </w:pPr>
            <w:r>
              <w:rPr>
                <w:rFonts w:ascii="仿宋_GB2312" w:hAnsi="仿宋_GB2312" w:cs="仿宋_GB2312" w:eastAsia="仿宋_GB2312"/>
                <w:sz w:val="21"/>
              </w:rPr>
              <w:t>1.合同款支付单位：商洛市自然资源局</w:t>
            </w:r>
          </w:p>
          <w:p>
            <w:pPr>
              <w:pStyle w:val="null3"/>
              <w:ind w:firstLine="412"/>
            </w:pPr>
            <w:r>
              <w:rPr>
                <w:rFonts w:ascii="仿宋_GB2312" w:hAnsi="仿宋_GB2312" w:cs="仿宋_GB2312" w:eastAsia="仿宋_GB2312"/>
                <w:sz w:val="21"/>
              </w:rPr>
              <w:t>2.付款方式：</w:t>
            </w:r>
          </w:p>
          <w:p>
            <w:pPr>
              <w:pStyle w:val="null3"/>
              <w:ind w:firstLine="412"/>
            </w:pPr>
            <w:r>
              <w:rPr>
                <w:rFonts w:ascii="仿宋_GB2312" w:hAnsi="仿宋_GB2312" w:cs="仿宋_GB2312" w:eastAsia="仿宋_GB2312"/>
                <w:sz w:val="21"/>
              </w:rPr>
              <w:t>1）合同签订后15 日内：支付合同金额40%的预付款；</w:t>
            </w:r>
          </w:p>
          <w:p>
            <w:pPr>
              <w:pStyle w:val="null3"/>
              <w:ind w:firstLine="412"/>
            </w:pPr>
            <w:r>
              <w:rPr>
                <w:rFonts w:ascii="仿宋_GB2312" w:hAnsi="仿宋_GB2312" w:cs="仿宋_GB2312" w:eastAsia="仿宋_GB2312"/>
                <w:sz w:val="21"/>
              </w:rPr>
              <w:t>2）中期成果：通过专家评审后：支付30%；</w:t>
            </w:r>
          </w:p>
          <w:p>
            <w:pPr>
              <w:pStyle w:val="null3"/>
              <w:ind w:firstLine="412"/>
            </w:pPr>
            <w:r>
              <w:rPr>
                <w:rFonts w:ascii="仿宋_GB2312" w:hAnsi="仿宋_GB2312" w:cs="仿宋_GB2312" w:eastAsia="仿宋_GB2312"/>
                <w:sz w:val="21"/>
              </w:rPr>
              <w:t>3）年度成果省级批准后15 日内：支付剩余的30%尾款。</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供应商根据采购内容及要求自行配备完成本项目所需的设施、设备。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供应商根据采购内容及要求自行配备完成本项目所需的设施、设备。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进度款，中期成果，达到付款条件起15个工作日内，支付合同总金额的30.0%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进度款，年度成果省级批准后，达到付款条件起15个工作日内，支付合同总金额的30.0%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投标文件，中标供应商领取中标通知书时须提交投标文件三套。纸质投标文件应与电子投标文件保持一致。递交纸质文件地点:商洛市商州区丹江一品饮食一条街2-22（亿诚公司）。2.本项目所属行业为其他未列明行业，从业人员300人以下的为中小微型企业。其中，从业人员100人及以上的为中型企业；从业人员10人及以上的为小型企业；从业人员10人以下的为微型企业。3.品目编码C19990000。4.采购文件所列标准与国家现行标准不一致时，以国家现行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符合《中华人民共和国政府采购法》第二十二条规定，并提供下列材料：（1）具有独立承担民事责任能力的法人或其他组织，提供合法有效的营业执照等证明文件；（2）投标人应授权合法的人员参加投标全过程，其中法定代表人直接参加投标的，须出具法人身份证，并与营业执照上信息一致。法定代表人授权代表参加投标的，须出具法定代表人授权书及授权代表身份证；（3）提供投标文件递交截止时间前一年内任意三个月已缴纳的社保缴费凭据或社保机构开具的社会保险参保缴费情况证明（依法不需要缴纳社会保障资金的投标人应提供相关证明）；（4）提供投标文件递交截止时间前一年内任意三个月已缴纳的纳税证明或完税证明，依法免税的单位应提供相关证明材料； （5）提供参加政府采购活动前3年内在经营活动中没有重大违法记录的书面声明；(6)提供具有履行本合同所必需的设备和专业技术能力的说明及承诺。</w:t>
            </w:r>
          </w:p>
        </w:tc>
        <w:tc>
          <w:tcPr>
            <w:tcW w:type="dxa" w:w="1661"/>
          </w:tcPr>
          <w:p>
            <w:pPr>
              <w:pStyle w:val="null3"/>
            </w:pPr>
            <w:r>
              <w:rPr>
                <w:rFonts w:ascii="仿宋_GB2312" w:hAnsi="仿宋_GB2312" w:cs="仿宋_GB2312" w:eastAsia="仿宋_GB2312"/>
              </w:rPr>
              <w:t>投标函 投标文件封面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w:t>
            </w:r>
          </w:p>
        </w:tc>
        <w:tc>
          <w:tcPr>
            <w:tcW w:type="dxa" w:w="1661"/>
          </w:tcPr>
          <w:p>
            <w:pPr>
              <w:pStyle w:val="null3"/>
            </w:pPr>
            <w:r>
              <w:rPr>
                <w:rFonts w:ascii="仿宋_GB2312" w:hAnsi="仿宋_GB2312" w:cs="仿宋_GB2312" w:eastAsia="仿宋_GB2312"/>
              </w:rPr>
              <w:t>投标文件封面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1）具有独立承担民事责任能力的法人或其他组织，提供合法有效的营业执照等证明文件；（2）投标人应授权合法的人员参加投标全过程，其中法定代表人直接参加投标的，须出具法人身份证，并与营业执照上信息一致。法定代表人授权代表参加投标的，须出具法定代表人授权书及授权代表身份证；（3）提供投标文件递交截止时间前一年内任意三个月已缴纳的社保缴费凭据或社保机构开具的社会保险参保缴费情况证明（依法不需要缴纳社会保障资金的投标人应提供相关证明）；（4）提供投标文件递交截止时间前一年内任意三个月已缴纳的纳税证明或完税证明，依法免税的单位应提供相关证明材料； （5）提供参加政府采购活动前3年内在经营活动中没有重大违法记录的书面声明；(6)提供具有履行本合同所必需的设备和专业技术能力的说明及承诺；（7）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8）供应商须具有土地规划编制乙级或城乡规划编制乙级及以上资质；项目负责人须具备注册城乡规划师资质证书，且在本单位注册。</w:t>
            </w:r>
          </w:p>
        </w:tc>
        <w:tc>
          <w:tcPr>
            <w:tcW w:type="dxa" w:w="1661"/>
          </w:tcPr>
          <w:p>
            <w:pPr>
              <w:pStyle w:val="null3"/>
            </w:pPr>
            <w:r>
              <w:rPr>
                <w:rFonts w:ascii="仿宋_GB2312" w:hAnsi="仿宋_GB2312" w:cs="仿宋_GB2312" w:eastAsia="仿宋_GB2312"/>
              </w:rPr>
              <w:t>投标文件封面 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分项报价表.1docx.docx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投标文件上法定代表人或其授权代表人的签字或盖章齐全并加盖公章</w:t>
            </w:r>
          </w:p>
        </w:tc>
        <w:tc>
          <w:tcPr>
            <w:tcW w:type="dxa" w:w="1661"/>
          </w:tcPr>
          <w:p>
            <w:pPr>
              <w:pStyle w:val="null3"/>
            </w:pPr>
            <w:r>
              <w:rPr>
                <w:rFonts w:ascii="仿宋_GB2312" w:hAnsi="仿宋_GB2312" w:cs="仿宋_GB2312" w:eastAsia="仿宋_GB2312"/>
              </w:rPr>
              <w:t>开标一览表 中小企业声明函 商务应答表 供应商主要业绩一览表.docx 分项报价表.1docx.docx 服务内容及服务要求应答表 投标函 拟投入本项目的工作人员表.docx 残疾人福利性单位声明函 服务方案 标的清单 投标文件封面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商务应答表 供应商主要业绩一览表.docx 分项报价表.1docx.docx 服务内容及服务要求应答表 投标函 拟投入本项目的工作人员表.docx 残疾人福利性单位声明函 服务方案 标的清单 供应商资格证明文件.docx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分项报价表.1docx.docx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供应商主要业绩一览表.docx 分项报价表.1docx.docx 服务内容及服务要求应答表 投标函 拟投入本项目的工作人员表.docx 残疾人福利性单位声明函 服务方案 标的清单 投标文件封面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应满足招标文件件要求</w:t>
            </w:r>
          </w:p>
        </w:tc>
        <w:tc>
          <w:tcPr>
            <w:tcW w:type="dxa" w:w="1661"/>
          </w:tcPr>
          <w:p>
            <w:pPr>
              <w:pStyle w:val="null3"/>
            </w:pPr>
            <w:r>
              <w:rPr>
                <w:rFonts w:ascii="仿宋_GB2312" w:hAnsi="仿宋_GB2312" w:cs="仿宋_GB2312" w:eastAsia="仿宋_GB2312"/>
              </w:rPr>
              <w:t>开标一览表 商务应答表 服务方案 分项报价表.1docx.docx 服务内容及服务要求应答表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应满足招标文件的要求</w:t>
            </w:r>
          </w:p>
        </w:tc>
        <w:tc>
          <w:tcPr>
            <w:tcW w:type="dxa" w:w="1661"/>
          </w:tcPr>
          <w:p>
            <w:pPr>
              <w:pStyle w:val="null3"/>
            </w:pPr>
            <w:r>
              <w:rPr>
                <w:rFonts w:ascii="仿宋_GB2312" w:hAnsi="仿宋_GB2312" w:cs="仿宋_GB2312" w:eastAsia="仿宋_GB2312"/>
              </w:rPr>
              <w:t>开标一览表 投标函 商务应答表 服务方案 服务内容及服务要求应答表 标的清单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服务要求应答表</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应满足招标文件的要求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一、评审内容：根据所提供的针对本项目的整体实施方案，包括但不限于：①对项目的理解；②项目编制的依据；③项目服务方案；④项目成果编制等。 二、赋分标准（满分12分） ①对项目的理解：完全满足项目要求、符合项目实际情况的得3分；根据项目内容及要求理解内容存在不合理处的得1.5分；内容与本项目无关或未提供的得0分。 ②项目编制的依据：完全满足项目要求、符合国家级行业规范要求的得3分；根据项目内容及要求编制依据存在不合理处的得1.5分；内容与本项目无关或未提供的得0分。 ③项目服务方案：完全满足项目要求、符合项目实际情况的得3分；根据项目内容及要求服务方案内容存在不合理处的得1.5分；内容与本项目无关或未提供的得0分。 ④项目成果编制：完全满足项目要求的得3分；根据项目内容及要求成果编制内容存在不合理处的得1.5分；内容与本项目无关或未提供的得0分。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一、评审内容：提供针对本项目的重点难点问题分析及解决方案。 二、评审标准（满分3分） 完全满足项目要求、贴合项目实际情况的得3分；根据项目内容及要求方案存在不合理处的得1.5分；内容与本项目无关或未提供的得0分。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一、评审内容：针对本项目实施过程，制定完善的质量保障措施，具体包括：①工作进度安排方案；②工作进度保障措施；③应急处理方案。 二、评审标准（满分9分） ①工作进度安排方案：完全满足项目要求、贴合项目实际情况的得3分；根据项目内容及要求方案存在不合理处的得1.5分；内容与本项目无关或未提供的得0分。 ②工作进度保障措施：完全满足项目要求、贴合项目实际情况的得3分；根据项目内容及要求方案存在不合理处的得1.5分；内容与本项目无关或未提供的得0分。 ③应急处理方案：完全满足项目要求、贴合项目实际情况的得3分；根据项目内容及要求方案存在不合理处的得1.5分；内容与本项目无关或未提供的得0分。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一、评审内容：提供项目实施过程中的质量保障措施，内容包括：①质量目标管理制度；②工作资料保障措施。 二、评审标准（满分6分） ①质量目标管理制度：完全满足项目要求、措施科学合理可行的得3分；根据项目内容及要求措施存在不合理处的得1.5分；内容与本项目无关或未提供的得0分。 ②工作资料保障措施：完全满足项目要求、措施科学合理可行的得3分；根据项目内容及要求措施存在不合理处的得1.5分；内容与本项目无关或未提供的得0分。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一、评审内容：针对本项目提供具体的保密措施，内容包括：①保密制度；②保密承诺。 二、评审标准（满分4分） ①保密制度：完全满足项目要求、措施完整、制度规范的得2分；根据项目内容及要求措施、制度存在不完善处的得1分；内容与本项目无关或未提供的得0分。 ②保密承诺：完全满足项目要求、承诺内容具体、切实可行的得2分；根据项目内容及要求承诺内容存在不合理处的得1分；内容与本项目无关或未提供的得0分。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具体的服务承诺，内容包括：①服务承诺：根据本项目的服务内容，做出切实可行的服务承诺，确保项目能按时按质完成等。②后续保障服务承诺：针对本项目预期成果文件有明确的承诺，协助采购人通过成果文件验收，对将检查通过的成果，按照要求整理汇总等。 二、评审标准（满分6分） ①服务承诺：完全满足项目要求、承诺内容切实可行的得3分；根据项目内容及要求承诺内容存在不合理处的得1.5分；内容与本项目无关或未提供的得0分。 ②后续保障服务承诺：完全满足项目要求、承诺内容切实可行的得3分；根据项目内容及要求承诺内容存在不合理处的得1.5分；内容与本项目无关或未提供的得0分。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一、拟派本项目负责人要求（10分）： ①拟派项目负责人具有相关专业（包含但不限于国土空间规划、城乡规划等）高级及以上职称的，计2分，中级职称计1分，其余职称不计分。 ②拟派项目负责人自2023年1月1日至投标截止时间前（以合同签订日期为准），主持市级及以上国土空间规划相关工作业绩（包括但不限于总体规划、专项规划、详细规划等），每有一项有效业绩得2分，最高得8分。 备注：须提供职称证书、以及自投标前1年内年投标人为其缴纳的社保证明资料或单位任职证明、业绩合同复印件并加盖投标人公章，业绩证明材料中须体现项目负责人姓名及服务内容。 二、拟派本项目其他人员要求（10分）： （除项目负责人外的其他成员）人员配置齐全、结构合理、分工明确，提供成员与本项目相关专业的中级（或以上）职称证书或相关专业执业资格证书，以及自投标前1年内年投标人为其缴纳的社保证明资料或单位任职证明；每提供一名成员相关资料得2分，本项最高得10分。未提供或提供资料不齐全、不符合要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拟投入本项目的工作人员表.docx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近三年（2023年1月1日至投标截止时间前，以合同签订日期为准），开展市级及以上国土空间规划相关工作业绩（包括但不限于总体规划或专项规划或详细规划或规划体系构建或主体功能区方案调整或数据库审核汇总等），每提供一项有效业绩得2分，最高得10分； 备注：须提供合同复印件及中标通知书并加盖投标人公章，业绩证明材料中须体现服务内容。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供应商主要业绩一览表.docx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投标报价最低的价格为评标基准价，其价格得分为满分。其他投标单位的价格得分统一按照下列公式计算：投标报价得分=（评标基准价/投标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分项报价表.1docx.docx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详见附件：供应商主要业绩一览表.docx</w:t>
      </w:r>
    </w:p>
    <w:p>
      <w:pPr>
        <w:pStyle w:val="null3"/>
        <w:ind w:firstLine="960"/>
      </w:pPr>
      <w:r>
        <w:rPr>
          <w:rFonts w:ascii="仿宋_GB2312" w:hAnsi="仿宋_GB2312" w:cs="仿宋_GB2312" w:eastAsia="仿宋_GB2312"/>
        </w:rPr>
        <w:t>详见附件：拟投入本项目的工作人员表.docx</w:t>
      </w:r>
    </w:p>
    <w:p>
      <w:pPr>
        <w:pStyle w:val="null3"/>
        <w:ind w:firstLine="960"/>
      </w:pPr>
      <w:r>
        <w:rPr>
          <w:rFonts w:ascii="仿宋_GB2312" w:hAnsi="仿宋_GB2312" w:cs="仿宋_GB2312" w:eastAsia="仿宋_GB2312"/>
        </w:rPr>
        <w:t>详见附件：分项报价表.1docx.docx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