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版本号：GR26-ZB-02120260626001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网络边界安全改造升级项目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GR26-ZB-021</w:t>
      </w:r>
      <w:r>
        <w:br/>
      </w:r>
      <w:r>
        <w:br/>
      </w:r>
      <w:r>
        <w:br/>
      </w:r>
    </w:p>
    <w:p>
      <w:pPr>
        <w:pStyle w:val="null3"/>
        <w:jc w:val="center"/>
        <w:outlineLvl w:val="2"/>
      </w:pPr>
      <w:r>
        <w:rPr>
          <w:rFonts w:ascii="仿宋_GB2312" w:hAnsi="仿宋_GB2312" w:cs="仿宋_GB2312" w:eastAsia="仿宋_GB2312"/>
          <w:sz w:val="28"/>
          <w:b/>
        </w:rPr>
        <w:t>陕西省计量科学研究院</w:t>
      </w:r>
    </w:p>
    <w:p>
      <w:pPr>
        <w:pStyle w:val="null3"/>
        <w:jc w:val="center"/>
        <w:outlineLvl w:val="2"/>
      </w:pPr>
      <w:r>
        <w:rPr>
          <w:rFonts w:ascii="仿宋_GB2312" w:hAnsi="仿宋_GB2312" w:cs="仿宋_GB2312" w:eastAsia="仿宋_GB2312"/>
          <w:sz w:val="28"/>
          <w:b/>
        </w:rPr>
        <w:t>伟江项目管理咨询有限公司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2026年06月26日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伟江项目管理咨询有限公司</w:t>
      </w:r>
      <w:r>
        <w:rPr>
          <w:rFonts w:ascii="仿宋_GB2312" w:hAnsi="仿宋_GB2312" w:cs="仿宋_GB2312" w:eastAsia="仿宋_GB2312"/>
        </w:rPr>
        <w:t>（以下简称“代理机构”）受</w:t>
      </w:r>
      <w:r>
        <w:rPr>
          <w:rFonts w:ascii="仿宋_GB2312" w:hAnsi="仿宋_GB2312" w:cs="仿宋_GB2312" w:eastAsia="仿宋_GB2312"/>
        </w:rPr>
        <w:t>陕西省计量科学研究院</w:t>
      </w:r>
      <w:r>
        <w:rPr>
          <w:rFonts w:ascii="仿宋_GB2312" w:hAnsi="仿宋_GB2312" w:cs="仿宋_GB2312" w:eastAsia="仿宋_GB2312"/>
        </w:rPr>
        <w:t>委托，拟对</w:t>
      </w:r>
      <w:r>
        <w:rPr>
          <w:rFonts w:ascii="仿宋_GB2312" w:hAnsi="仿宋_GB2312" w:cs="仿宋_GB2312" w:eastAsia="仿宋_GB2312"/>
        </w:rPr>
        <w:t>网络边界安全改造升级项目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GR26-ZB-021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网络边界安全改造升级项目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按照“信息安全等级保护2.0”标准要求，结合我院实际情况加强网络安全建设。网络准入系统是为保证网络边界的完整性，对非法接入进行监控与阻断，形成网络可信接入，共同维护边界完整性；漏洞屏蔽系统拦截外部网络对内部漏洞恶意探测，资产漏洞嗅探是攻击者攻击的第一步，开启对应的漏洞屏蔽方案，收敛资产漏洞暴露面，降低因漏洞问题而被通报的风险，同时减少被黑客利用的机会。</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 xml:space="preserve"> 无</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陕西省计量科学研究院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西安市航天基地神舟六路南段580号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陕西省计量科学研究院</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029-85838133</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伟江项目管理咨询有限公司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西安市新城区龙首北路东段大明宫圣远广场A座8001</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吴斯琪</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029-81111916</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采购包1：1,350,000.00元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采购包1保证金金额：18,000.00元</w:t>
            </w:r>
          </w:p>
          <w:p>
            <w:pPr>
              <w:pStyle w:val="null3"/>
            </w:pPr>
            <w:r>
              <w:rPr>
                <w:rFonts w:ascii="仿宋_GB2312" w:hAnsi="仿宋_GB2312" w:cs="仿宋_GB2312" w:eastAsia="仿宋_GB2312"/>
              </w:rPr>
              <w:t>缴交渠道：转账、支票、汇票等（需通过实体账户、户名及开户行信息）</w:t>
            </w:r>
          </w:p>
          <w:p>
            <w:pPr>
              <w:pStyle w:val="null3"/>
            </w:pPr>
            <w:r>
              <w:rPr>
                <w:rFonts w:ascii="仿宋_GB2312" w:hAnsi="仿宋_GB2312" w:cs="仿宋_GB2312" w:eastAsia="仿宋_GB2312"/>
              </w:rPr>
              <w:t>开户名称：伟江项目管理咨询有限公司</w:t>
            </w:r>
          </w:p>
          <w:p>
            <w:pPr>
              <w:pStyle w:val="null3"/>
            </w:pPr>
            <w:r>
              <w:rPr>
                <w:rFonts w:ascii="仿宋_GB2312" w:hAnsi="仿宋_GB2312" w:cs="仿宋_GB2312" w:eastAsia="仿宋_GB2312"/>
              </w:rPr>
              <w:t>开户银行：兴业银行股份有限公司西安未央路支行</w:t>
            </w:r>
          </w:p>
          <w:p>
            <w:pPr>
              <w:pStyle w:val="null3"/>
            </w:pPr>
            <w:r>
              <w:rPr>
                <w:rFonts w:ascii="仿宋_GB2312" w:hAnsi="仿宋_GB2312" w:cs="仿宋_GB2312" w:eastAsia="仿宋_GB2312"/>
              </w:rPr>
              <w:t>银行账号：456910100100163145</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本项目采购代理服务费以采购项目的中标（成交）金额作为收费基数，按照国家计委（计价格【2002】1980号）《招标代理服务收费管理暂行办法》规定的货物类收费标准收取。由中标（成交）供应商向采购代理机构一次性支付。</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陕西省计量科学研究院</w:t>
      </w:r>
      <w:r>
        <w:rPr>
          <w:rFonts w:ascii="仿宋_GB2312" w:hAnsi="仿宋_GB2312" w:cs="仿宋_GB2312" w:eastAsia="仿宋_GB2312"/>
        </w:rPr>
        <w:t>和</w:t>
      </w:r>
      <w:r>
        <w:rPr>
          <w:rFonts w:ascii="仿宋_GB2312" w:hAnsi="仿宋_GB2312" w:cs="仿宋_GB2312" w:eastAsia="仿宋_GB2312"/>
        </w:rPr>
        <w:t>伟江项目管理咨询有限公司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陕西省计量科学研究院</w:t>
      </w:r>
      <w:r>
        <w:rPr>
          <w:rFonts w:ascii="仿宋_GB2312" w:hAnsi="仿宋_GB2312" w:cs="仿宋_GB2312" w:eastAsia="仿宋_GB2312"/>
        </w:rPr>
        <w:t>负责解释。除上述招标文件内容，其他内容由</w:t>
      </w:r>
      <w:r>
        <w:rPr>
          <w:rFonts w:ascii="仿宋_GB2312" w:hAnsi="仿宋_GB2312" w:cs="仿宋_GB2312" w:eastAsia="仿宋_GB2312"/>
        </w:rPr>
        <w:t>伟江项目管理咨询有限公司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陕西省计量科学研究院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伟江项目管理咨询有限公司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以最终签订的合同条款为准</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验收以合同、招标文件、投标文件、证书、国家相应的标准、规范等为依据。符合合同要求。</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伟江项目管理咨询有限公司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伟江项目管理咨询有限公司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伟江项目管理咨询有限公司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联系人：马建国</w:t>
      </w:r>
    </w:p>
    <w:p>
      <w:pPr>
        <w:pStyle w:val="null3"/>
      </w:pPr>
      <w:r>
        <w:rPr>
          <w:rFonts w:ascii="仿宋_GB2312" w:hAnsi="仿宋_GB2312" w:cs="仿宋_GB2312" w:eastAsia="仿宋_GB2312"/>
        </w:rPr>
        <w:t>联系电话：029-81111916</w:t>
      </w:r>
    </w:p>
    <w:p>
      <w:pPr>
        <w:pStyle w:val="null3"/>
      </w:pPr>
      <w:r>
        <w:rPr>
          <w:rFonts w:ascii="仿宋_GB2312" w:hAnsi="仿宋_GB2312" w:cs="仿宋_GB2312" w:eastAsia="仿宋_GB2312"/>
        </w:rPr>
        <w:t>地址：西安市新城区龙首北路东段大明宫圣远广场A座8001</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按照“信息安全等级保护2.0”标准要求，结合我院实际情况加强网络安全建设。网络准入系统是为保证网络边界的完整性，对非法接入进行监控与阻断，形成网络可信接入，共同维护边界完整性；漏洞屏蔽系统拦截外部网络对内部漏洞恶意探测，资产漏洞嗅探是攻击者攻击的第一步，开启对应的漏洞屏蔽方案，收敛资产漏洞暴露面，降低因漏洞问题而被通报的风险，同时减少被黑客利用的机会。</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1,350,000.00</w:t>
      </w:r>
    </w:p>
    <w:p>
      <w:pPr>
        <w:pStyle w:val="null3"/>
      </w:pPr>
      <w:r>
        <w:rPr>
          <w:rFonts w:ascii="仿宋_GB2312" w:hAnsi="仿宋_GB2312" w:cs="仿宋_GB2312" w:eastAsia="仿宋_GB2312"/>
        </w:rPr>
        <w:t>采购包最高限价（元）: 1,350,000.00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网络准入和漏洞屏蔽系统</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1,350,000.00</w:t>
            </w:r>
          </w:p>
        </w:tc>
        <w:tc>
          <w:tcPr>
            <w:tcW w:type="dxa" w:w="755"/>
          </w:tcPr>
          <w:p>
            <w:pPr>
              <w:pStyle w:val="null3"/>
            </w:pPr>
            <w:r>
              <w:rPr>
                <w:rFonts w:ascii="仿宋_GB2312" w:hAnsi="仿宋_GB2312" w:cs="仿宋_GB2312" w:eastAsia="仿宋_GB2312"/>
              </w:rPr>
              <w:t>套</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标的名称：网络准入和漏洞屏蔽系统</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left="210"/>
              <w:jc w:val="center"/>
            </w:pPr>
            <w:r>
              <w:rPr>
                <w:rFonts w:ascii="仿宋_GB2312" w:hAnsi="仿宋_GB2312" w:cs="仿宋_GB2312" w:eastAsia="仿宋_GB2312"/>
                <w:sz w:val="28"/>
                <w:b/>
              </w:rPr>
              <w:t>网络准入</w:t>
            </w:r>
          </w:p>
          <w:tbl>
            <w:tblPr>
              <w:tblInd w:type="dxa" w:w="135"/>
              <w:tblBorders>
                <w:top w:val="none" w:color="000000" w:sz="4"/>
                <w:left w:val="none" w:color="000000" w:sz="4"/>
                <w:bottom w:val="none" w:color="000000" w:sz="4"/>
                <w:right w:val="none" w:color="000000" w:sz="4"/>
                <w:insideH w:val="none"/>
                <w:insideV w:val="none"/>
              </w:tblBorders>
            </w:tblPr>
            <w:tblGrid>
              <w:gridCol w:w="239"/>
              <w:gridCol w:w="208"/>
              <w:gridCol w:w="294"/>
              <w:gridCol w:w="1365"/>
              <w:gridCol w:w="447"/>
            </w:tblGrid>
            <w:tr>
              <w:tc>
                <w:tcPr>
                  <w:tcW w:type="dxa" w:w="741"/>
                  <w:gridSpan w:val="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功能分类</w:t>
                  </w:r>
                </w:p>
              </w:tc>
              <w:tc>
                <w:tcPr>
                  <w:tcW w:type="dxa" w:w="136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指标要求</w:t>
                  </w:r>
                </w:p>
              </w:tc>
              <w:tc>
                <w:tcPr>
                  <w:tcW w:type="dxa" w:w="44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数量</w:t>
                  </w:r>
                </w:p>
              </w:tc>
            </w:tr>
            <w:tr>
              <w:tc>
                <w:tcPr>
                  <w:tcW w:type="dxa" w:w="447"/>
                  <w:gridSpan w:val="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服务端管理</w:t>
                  </w:r>
                </w:p>
              </w:tc>
              <w:tc>
                <w:tcPr>
                  <w:tcW w:type="dxa" w:w="2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方案整体架构</w:t>
                  </w:r>
                </w:p>
              </w:tc>
              <w:tc>
                <w:tcPr>
                  <w:tcW w:type="dxa" w:w="1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管理平台和准入网关支持一体化部署，也可采用分离部署架构；</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服务端平台支持单机、双机热备模式、支持集群模式、高可用模式等多种部署架构，可根据用户现场环境选择适宜方式；支持通过扩展服务器数量支撑更多的终端管控数量；</w:t>
                  </w:r>
                </w:p>
                <w:p>
                  <w:pPr>
                    <w:pStyle w:val="null3"/>
                    <w:jc w:val="both"/>
                  </w:pPr>
                  <w:r>
                    <w:rPr>
                      <w:rFonts w:ascii="仿宋_GB2312" w:hAnsi="仿宋_GB2312" w:cs="仿宋_GB2312" w:eastAsia="仿宋_GB2312"/>
                      <w:sz w:val="21"/>
                    </w:rPr>
                    <w:t>3、服务端系统软件、中间件、数据库、应用支撑平台等全栈技术体系均选用符合国家信息技术应用创新标准的国产化产品，整体架构满足信创建设要求</w:t>
                  </w:r>
                  <w:r>
                    <w:rPr>
                      <w:rFonts w:ascii="仿宋_GB2312" w:hAnsi="仿宋_GB2312" w:cs="仿宋_GB2312" w:eastAsia="仿宋_GB2312"/>
                      <w:sz w:val="21"/>
                    </w:rPr>
                    <w:t>；</w:t>
                  </w:r>
                </w:p>
              </w:tc>
              <w:tc>
                <w:tcPr>
                  <w:tcW w:type="dxa" w:w="447"/>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447"/>
                  <w:gridSpan w:val="2"/>
                  <w:vMerge/>
                  <w:tcBorders>
                    <w:top w:val="none" w:color="000000" w:sz="4"/>
                    <w:left w:val="single" w:color="000000" w:sz="4"/>
                    <w:bottom w:val="single" w:color="000000" w:sz="4"/>
                    <w:right w:val="single" w:color="000000" w:sz="4"/>
                  </w:tcBorders>
                </w:tcPr>
                <w:p/>
              </w:tc>
              <w:tc>
                <w:tcPr>
                  <w:tcW w:type="dxa" w:w="2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国产化</w:t>
                  </w:r>
                  <w:r>
                    <w:rPr>
                      <w:rFonts w:ascii="仿宋_GB2312" w:hAnsi="仿宋_GB2312" w:cs="仿宋_GB2312" w:eastAsia="仿宋_GB2312"/>
                      <w:sz w:val="21"/>
                    </w:rPr>
                    <w:t>要求</w:t>
                  </w:r>
                </w:p>
                <w:p>
                  <w:pPr>
                    <w:pStyle w:val="null3"/>
                    <w:jc w:val="both"/>
                  </w:pPr>
                  <w:r>
                    <w:rPr>
                      <w:rFonts w:ascii="仿宋_GB2312" w:hAnsi="仿宋_GB2312" w:cs="仿宋_GB2312" w:eastAsia="仿宋_GB2312"/>
                      <w:sz w:val="21"/>
                    </w:rPr>
                    <w:t>（操作系统、数据库等）</w:t>
                  </w:r>
                </w:p>
              </w:tc>
              <w:tc>
                <w:tcPr>
                  <w:tcW w:type="dxa" w:w="1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服务端平台底层操作系统，支持常用国产化操作系统，包括银河麒麟、中标麒麟、统信</w:t>
                  </w:r>
                  <w:r>
                    <w:rPr>
                      <w:rFonts w:ascii="仿宋_GB2312" w:hAnsi="仿宋_GB2312" w:cs="仿宋_GB2312" w:eastAsia="仿宋_GB2312"/>
                      <w:sz w:val="21"/>
                    </w:rPr>
                    <w:t>UOS等；（提供操作系统适配认证证书）</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服务端数据库支持：人大金仓</w:t>
                  </w:r>
                  <w:r>
                    <w:rPr>
                      <w:rFonts w:ascii="仿宋_GB2312" w:hAnsi="仿宋_GB2312" w:cs="仿宋_GB2312" w:eastAsia="仿宋_GB2312"/>
                      <w:sz w:val="21"/>
                    </w:rPr>
                    <w:t>/南大通用/海量数据等；</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服务端中间件支持：东方通</w:t>
                  </w:r>
                  <w:r>
                    <w:rPr>
                      <w:rFonts w:ascii="仿宋_GB2312" w:hAnsi="仿宋_GB2312" w:cs="仿宋_GB2312" w:eastAsia="仿宋_GB2312"/>
                      <w:sz w:val="21"/>
                    </w:rPr>
                    <w:t>嵌入式版</w:t>
                  </w:r>
                  <w:r>
                    <w:rPr>
                      <w:rFonts w:ascii="仿宋_GB2312" w:hAnsi="仿宋_GB2312" w:cs="仿宋_GB2312" w:eastAsia="仿宋_GB2312"/>
                      <w:sz w:val="21"/>
                    </w:rPr>
                    <w:t>/宝兰德等；</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w:t>
                  </w:r>
                  <w:r>
                    <w:rPr>
                      <w:rFonts w:ascii="仿宋_GB2312" w:hAnsi="仿宋_GB2312" w:cs="仿宋_GB2312" w:eastAsia="仿宋_GB2312"/>
                      <w:sz w:val="21"/>
                    </w:rPr>
                    <w:t>支持在现有平台上，无需单独部署服务器系统即可扩展对主流</w:t>
                  </w:r>
                  <w:r>
                    <w:rPr>
                      <w:rFonts w:ascii="仿宋_GB2312" w:hAnsi="仿宋_GB2312" w:cs="仿宋_GB2312" w:eastAsia="仿宋_GB2312"/>
                      <w:sz w:val="21"/>
                    </w:rPr>
                    <w:t>国产化</w:t>
                  </w:r>
                  <w:r>
                    <w:rPr>
                      <w:rFonts w:ascii="仿宋_GB2312" w:hAnsi="仿宋_GB2312" w:cs="仿宋_GB2312" w:eastAsia="仿宋_GB2312"/>
                      <w:sz w:val="21"/>
                    </w:rPr>
                    <w:t>PC系统的功能支持</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5、系统需具备可扩展性，平台支持扩展桌面管理、防病毒、软件管理、数据泄露防护、文档加密、检测与响应等功能；（</w:t>
                  </w:r>
                  <w:r>
                    <w:rPr>
                      <w:rFonts w:ascii="仿宋_GB2312" w:hAnsi="仿宋_GB2312" w:cs="仿宋_GB2312" w:eastAsia="仿宋_GB2312"/>
                      <w:sz w:val="21"/>
                      <w:b/>
                    </w:rPr>
                    <w:t>须进行功能演示</w:t>
                  </w:r>
                  <w:r>
                    <w:rPr>
                      <w:rFonts w:ascii="仿宋_GB2312" w:hAnsi="仿宋_GB2312" w:cs="仿宋_GB2312" w:eastAsia="仿宋_GB2312"/>
                      <w:sz w:val="21"/>
                    </w:rPr>
                    <w:t>）</w:t>
                  </w:r>
                </w:p>
              </w:tc>
            </w:tr>
            <w:tr>
              <w:tc>
                <w:tcPr>
                  <w:tcW w:type="dxa" w:w="741"/>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硬件</w:t>
                  </w:r>
                </w:p>
              </w:tc>
              <w:tc>
                <w:tcPr>
                  <w:tcW w:type="dxa" w:w="1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标准机架式，电源数量：</w:t>
                  </w:r>
                  <w:r>
                    <w:rPr>
                      <w:rFonts w:ascii="仿宋_GB2312" w:hAnsi="仿宋_GB2312" w:cs="仿宋_GB2312" w:eastAsia="仿宋_GB2312"/>
                      <w:sz w:val="21"/>
                    </w:rPr>
                    <w:t>≥2，CPU：</w:t>
                  </w:r>
                  <w:r>
                    <w:rPr>
                      <w:rFonts w:ascii="仿宋_GB2312" w:hAnsi="仿宋_GB2312" w:cs="仿宋_GB2312" w:eastAsia="仿宋_GB2312"/>
                      <w:sz w:val="21"/>
                    </w:rPr>
                    <w:t>国产化，</w:t>
                  </w:r>
                  <w:r>
                    <w:rPr>
                      <w:rFonts w:ascii="仿宋_GB2312" w:hAnsi="仿宋_GB2312" w:cs="仿宋_GB2312" w:eastAsia="仿宋_GB2312"/>
                      <w:sz w:val="21"/>
                    </w:rPr>
                    <w:t>≥32C，≥2.5GHZ，内存：≥256G，支持RAID6,存储容量≥20T，≥4个万兆光口（含模块），内置国产化操作系统。</w:t>
                  </w:r>
                </w:p>
              </w:tc>
              <w:tc>
                <w:tcPr>
                  <w:tcW w:type="dxa" w:w="4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r>
            <w:tr>
              <w:tc>
                <w:tcPr>
                  <w:tcW w:type="dxa" w:w="23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准入控制管理模块</w:t>
                  </w:r>
                </w:p>
              </w:tc>
              <w:tc>
                <w:tcPr>
                  <w:tcW w:type="dxa" w:w="20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准入部署</w:t>
                  </w:r>
                </w:p>
              </w:tc>
              <w:tc>
                <w:tcPr>
                  <w:tcW w:type="dxa" w:w="2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网络环境</w:t>
                  </w:r>
                </w:p>
              </w:tc>
              <w:tc>
                <w:tcPr>
                  <w:tcW w:type="dxa" w:w="136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支持</w:t>
                  </w:r>
                  <w:r>
                    <w:rPr>
                      <w:rFonts w:ascii="仿宋_GB2312" w:hAnsi="仿宋_GB2312" w:cs="仿宋_GB2312" w:eastAsia="仿宋_GB2312"/>
                      <w:sz w:val="21"/>
                    </w:rPr>
                    <w:t>802.1x、Cisco EoU、WebAuth、Portal、端口镜像、策略路由等多种准入控制方式混合使用，一个系统可同时使用多种准入方式适应复杂网络环境；</w:t>
                  </w:r>
                  <w:r>
                    <w:rPr>
                      <w:rFonts w:ascii="仿宋_GB2312" w:hAnsi="仿宋_GB2312" w:cs="仿宋_GB2312" w:eastAsia="仿宋_GB2312"/>
                      <w:sz w:val="21"/>
                    </w:rPr>
                    <w:t>（</w:t>
                  </w:r>
                  <w:r>
                    <w:rPr>
                      <w:rFonts w:ascii="仿宋_GB2312" w:hAnsi="仿宋_GB2312" w:cs="仿宋_GB2312" w:eastAsia="仿宋_GB2312"/>
                      <w:sz w:val="21"/>
                      <w:b/>
                    </w:rPr>
                    <w:t>须进行功能演示</w:t>
                  </w:r>
                  <w:r>
                    <w:rPr>
                      <w:rFonts w:ascii="仿宋_GB2312" w:hAnsi="仿宋_GB2312" w:cs="仿宋_GB2312" w:eastAsia="仿宋_GB2312"/>
                      <w:sz w:val="21"/>
                    </w:rPr>
                    <w:t>）</w:t>
                  </w:r>
                </w:p>
              </w:tc>
              <w:tc>
                <w:tcPr>
                  <w:tcW w:type="dxa" w:w="447"/>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39"/>
                  <w:vMerge/>
                  <w:tcBorders>
                    <w:top w:val="none" w:color="000000" w:sz="4"/>
                    <w:left w:val="single" w:color="000000" w:sz="4"/>
                    <w:bottom w:val="single" w:color="000000" w:sz="4"/>
                    <w:right w:val="single" w:color="000000" w:sz="4"/>
                  </w:tcBorders>
                </w:tcPr>
                <w:p/>
              </w:tc>
              <w:tc>
                <w:tcPr>
                  <w:tcW w:type="dxa" w:w="208"/>
                  <w:vMerge/>
                  <w:tcBorders>
                    <w:top w:val="none" w:color="000000" w:sz="4"/>
                    <w:left w:val="none" w:color="000000" w:sz="4"/>
                    <w:bottom w:val="single" w:color="000000" w:sz="4"/>
                    <w:right w:val="single" w:color="000000" w:sz="4"/>
                  </w:tcBorders>
                </w:tcPr>
                <w:p/>
              </w:tc>
              <w:tc>
                <w:tcPr>
                  <w:tcW w:type="dxa" w:w="29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准入客户端</w:t>
                  </w:r>
                </w:p>
              </w:tc>
              <w:tc>
                <w:tcPr>
                  <w:tcW w:type="dxa" w:w="1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w:t>
                  </w:r>
                  <w:r>
                    <w:rPr>
                      <w:rFonts w:ascii="仿宋_GB2312" w:hAnsi="仿宋_GB2312" w:cs="仿宋_GB2312" w:eastAsia="仿宋_GB2312"/>
                      <w:sz w:val="21"/>
                    </w:rPr>
                    <w:t>支持</w:t>
                  </w:r>
                  <w:r>
                    <w:rPr>
                      <w:rFonts w:ascii="仿宋_GB2312" w:hAnsi="仿宋_GB2312" w:cs="仿宋_GB2312" w:eastAsia="仿宋_GB2312"/>
                      <w:sz w:val="21"/>
                    </w:rPr>
                    <w:t>Windows、Mac OS、Linux、常用国产化操作系统等系统客户端；</w:t>
                  </w:r>
                </w:p>
              </w:tc>
              <w:tc>
                <w:tcPr>
                  <w:tcW w:type="dxa" w:w="447"/>
                  <w:vMerge/>
                  <w:tcBorders>
                    <w:top w:val="single" w:color="000000" w:sz="4"/>
                    <w:left w:val="none" w:color="000000" w:sz="4"/>
                    <w:bottom w:val="single" w:color="000000" w:sz="4"/>
                    <w:right w:val="single" w:color="000000" w:sz="4"/>
                  </w:tcBorders>
                </w:tcPr>
                <w:p/>
              </w:tc>
            </w:tr>
            <w:tr>
              <w:tc>
                <w:tcPr>
                  <w:tcW w:type="dxa" w:w="239"/>
                  <w:vMerge/>
                  <w:tcBorders>
                    <w:top w:val="none" w:color="000000" w:sz="4"/>
                    <w:left w:val="single" w:color="000000" w:sz="4"/>
                    <w:bottom w:val="single" w:color="000000" w:sz="4"/>
                    <w:right w:val="single" w:color="000000" w:sz="4"/>
                  </w:tcBorders>
                </w:tcPr>
                <w:p/>
              </w:tc>
              <w:tc>
                <w:tcPr>
                  <w:tcW w:type="dxa" w:w="208"/>
                  <w:vMerge/>
                  <w:tcBorders>
                    <w:top w:val="none" w:color="000000" w:sz="4"/>
                    <w:left w:val="none" w:color="000000" w:sz="4"/>
                    <w:bottom w:val="single" w:color="000000" w:sz="4"/>
                    <w:right w:val="single" w:color="000000" w:sz="4"/>
                  </w:tcBorders>
                </w:tcPr>
                <w:p/>
              </w:tc>
              <w:tc>
                <w:tcPr>
                  <w:tcW w:type="dxa" w:w="294"/>
                  <w:vMerge/>
                  <w:tcBorders>
                    <w:top w:val="none" w:color="000000" w:sz="4"/>
                    <w:left w:val="none" w:color="000000" w:sz="4"/>
                    <w:bottom w:val="single" w:color="000000" w:sz="4"/>
                    <w:right w:val="single" w:color="000000" w:sz="4"/>
                  </w:tcBorders>
                </w:tcPr>
                <w:p/>
              </w:tc>
              <w:tc>
                <w:tcPr>
                  <w:tcW w:type="dxa" w:w="1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准入控制许可</w:t>
                  </w:r>
                  <w:r>
                    <w:rPr>
                      <w:rFonts w:ascii="仿宋_GB2312" w:hAnsi="仿宋_GB2312" w:cs="仿宋_GB2312" w:eastAsia="仿宋_GB2312"/>
                      <w:sz w:val="21"/>
                    </w:rPr>
                    <w:t>≥</w:t>
                  </w:r>
                  <w:r>
                    <w:rPr>
                      <w:rFonts w:ascii="仿宋_GB2312" w:hAnsi="仿宋_GB2312" w:cs="仿宋_GB2312" w:eastAsia="仿宋_GB2312"/>
                      <w:sz w:val="21"/>
                    </w:rPr>
                    <w:t>25</w:t>
                  </w:r>
                  <w:r>
                    <w:rPr>
                      <w:rFonts w:ascii="仿宋_GB2312" w:hAnsi="仿宋_GB2312" w:cs="仿宋_GB2312" w:eastAsia="仿宋_GB2312"/>
                      <w:sz w:val="21"/>
                    </w:rPr>
                    <w:t>00点，其中同时支持Windows、Linux和常用国产化操作系统（麒麟、统信等）</w:t>
                  </w:r>
                  <w:r>
                    <w:rPr>
                      <w:rFonts w:ascii="仿宋_GB2312" w:hAnsi="仿宋_GB2312" w:cs="仿宋_GB2312" w:eastAsia="仿宋_GB2312"/>
                      <w:sz w:val="21"/>
                    </w:rPr>
                    <w:t>桌面</w:t>
                  </w:r>
                  <w:r>
                    <w:rPr>
                      <w:rFonts w:ascii="仿宋_GB2312" w:hAnsi="仿宋_GB2312" w:cs="仿宋_GB2312" w:eastAsia="仿宋_GB2312"/>
                      <w:sz w:val="21"/>
                    </w:rPr>
                    <w:t>客户端许可</w:t>
                  </w:r>
                  <w:r>
                    <w:rPr>
                      <w:rFonts w:ascii="仿宋_GB2312" w:hAnsi="仿宋_GB2312" w:cs="仿宋_GB2312" w:eastAsia="仿宋_GB2312"/>
                      <w:sz w:val="21"/>
                    </w:rPr>
                    <w:t>≥1</w:t>
                  </w:r>
                  <w:r>
                    <w:rPr>
                      <w:rFonts w:ascii="仿宋_GB2312" w:hAnsi="仿宋_GB2312" w:cs="仿宋_GB2312" w:eastAsia="仿宋_GB2312"/>
                      <w:sz w:val="21"/>
                    </w:rPr>
                    <w:t>0</w:t>
                  </w:r>
                  <w:r>
                    <w:rPr>
                      <w:rFonts w:ascii="仿宋_GB2312" w:hAnsi="仿宋_GB2312" w:cs="仿宋_GB2312" w:eastAsia="仿宋_GB2312"/>
                      <w:sz w:val="21"/>
                    </w:rPr>
                    <w:t>00点</w:t>
                  </w:r>
                </w:p>
              </w:tc>
              <w:tc>
                <w:tcPr>
                  <w:tcW w:type="dxa" w:w="447"/>
                  <w:vMerge/>
                  <w:tcBorders>
                    <w:top w:val="single" w:color="000000" w:sz="4"/>
                    <w:left w:val="none" w:color="000000" w:sz="4"/>
                    <w:bottom w:val="single" w:color="000000" w:sz="4"/>
                    <w:right w:val="single" w:color="000000" w:sz="4"/>
                  </w:tcBorders>
                </w:tcPr>
                <w:p/>
              </w:tc>
            </w:tr>
            <w:tr>
              <w:tc>
                <w:tcPr>
                  <w:tcW w:type="dxa" w:w="239"/>
                  <w:vMerge/>
                  <w:tcBorders>
                    <w:top w:val="none" w:color="000000" w:sz="4"/>
                    <w:left w:val="single" w:color="000000" w:sz="4"/>
                    <w:bottom w:val="single" w:color="000000" w:sz="4"/>
                    <w:right w:val="single" w:color="000000" w:sz="4"/>
                  </w:tcBorders>
                </w:tcPr>
                <w:p/>
              </w:tc>
              <w:tc>
                <w:tcPr>
                  <w:tcW w:type="dxa" w:w="208"/>
                  <w:vMerge/>
                  <w:tcBorders>
                    <w:top w:val="none" w:color="000000" w:sz="4"/>
                    <w:left w:val="none" w:color="000000" w:sz="4"/>
                    <w:bottom w:val="single" w:color="000000" w:sz="4"/>
                    <w:right w:val="single" w:color="000000" w:sz="4"/>
                  </w:tcBorders>
                </w:tcPr>
                <w:p/>
              </w:tc>
              <w:tc>
                <w:tcPr>
                  <w:tcW w:type="dxa" w:w="294"/>
                  <w:vMerge/>
                  <w:tcBorders>
                    <w:top w:val="none" w:color="000000" w:sz="4"/>
                    <w:left w:val="none" w:color="000000" w:sz="4"/>
                    <w:bottom w:val="single" w:color="000000" w:sz="4"/>
                    <w:right w:val="single" w:color="000000" w:sz="4"/>
                  </w:tcBorders>
                </w:tcPr>
                <w:p/>
              </w:tc>
              <w:tc>
                <w:tcPr>
                  <w:tcW w:type="dxa" w:w="1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w:t>
                  </w:r>
                  <w:r>
                    <w:rPr>
                      <w:rFonts w:ascii="仿宋_GB2312" w:hAnsi="仿宋_GB2312" w:cs="仿宋_GB2312" w:eastAsia="仿宋_GB2312"/>
                      <w:sz w:val="21"/>
                    </w:rPr>
                    <w:t>支持对未安装客户端的电脑通过</w:t>
                  </w:r>
                  <w:r>
                    <w:rPr>
                      <w:rFonts w:ascii="仿宋_GB2312" w:hAnsi="仿宋_GB2312" w:cs="仿宋_GB2312" w:eastAsia="仿宋_GB2312"/>
                      <w:sz w:val="21"/>
                    </w:rPr>
                    <w:t>HTTPS协议的Web与邮件重定向方式进行自动重定向式引导，提醒并帮助用户自助安装；</w:t>
                  </w:r>
                </w:p>
              </w:tc>
              <w:tc>
                <w:tcPr>
                  <w:tcW w:type="dxa" w:w="447"/>
                  <w:vMerge/>
                  <w:tcBorders>
                    <w:top w:val="single" w:color="000000" w:sz="4"/>
                    <w:left w:val="none" w:color="000000" w:sz="4"/>
                    <w:bottom w:val="single" w:color="000000" w:sz="4"/>
                    <w:right w:val="single" w:color="000000" w:sz="4"/>
                  </w:tcBorders>
                </w:tcPr>
                <w:p/>
              </w:tc>
            </w:tr>
            <w:tr>
              <w:tc>
                <w:tcPr>
                  <w:tcW w:type="dxa" w:w="239"/>
                  <w:vMerge/>
                  <w:tcBorders>
                    <w:top w:val="none" w:color="000000" w:sz="4"/>
                    <w:left w:val="single" w:color="000000" w:sz="4"/>
                    <w:bottom w:val="single" w:color="000000" w:sz="4"/>
                    <w:right w:val="single" w:color="000000" w:sz="4"/>
                  </w:tcBorders>
                </w:tcPr>
                <w:p/>
              </w:tc>
              <w:tc>
                <w:tcPr>
                  <w:tcW w:type="dxa" w:w="208"/>
                  <w:vMerge/>
                  <w:tcBorders>
                    <w:top w:val="none" w:color="000000" w:sz="4"/>
                    <w:left w:val="none" w:color="000000" w:sz="4"/>
                    <w:bottom w:val="single" w:color="000000" w:sz="4"/>
                    <w:right w:val="single" w:color="000000" w:sz="4"/>
                  </w:tcBorders>
                </w:tcPr>
                <w:p/>
              </w:tc>
              <w:tc>
                <w:tcPr>
                  <w:tcW w:type="dxa" w:w="294"/>
                  <w:vMerge/>
                  <w:tcBorders>
                    <w:top w:val="none" w:color="000000" w:sz="4"/>
                    <w:left w:val="none" w:color="000000" w:sz="4"/>
                    <w:bottom w:val="single" w:color="000000" w:sz="4"/>
                    <w:right w:val="single" w:color="000000" w:sz="4"/>
                  </w:tcBorders>
                </w:tcPr>
                <w:p/>
              </w:tc>
              <w:tc>
                <w:tcPr>
                  <w:tcW w:type="dxa" w:w="1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支持客户端自我防护机制，客户端文件、进程、注册表、服务等都无法停止、修改、删除，且安全模式下，客户端策略依然生效；</w:t>
                  </w:r>
                </w:p>
              </w:tc>
              <w:tc>
                <w:tcPr>
                  <w:tcW w:type="dxa" w:w="447"/>
                  <w:vMerge/>
                  <w:tcBorders>
                    <w:top w:val="single" w:color="000000" w:sz="4"/>
                    <w:left w:val="none" w:color="000000" w:sz="4"/>
                    <w:bottom w:val="single" w:color="000000" w:sz="4"/>
                    <w:right w:val="single" w:color="000000" w:sz="4"/>
                  </w:tcBorders>
                </w:tcPr>
                <w:p/>
              </w:tc>
            </w:tr>
            <w:tr>
              <w:tc>
                <w:tcPr>
                  <w:tcW w:type="dxa" w:w="239"/>
                  <w:vMerge/>
                  <w:tcBorders>
                    <w:top w:val="none" w:color="000000" w:sz="4"/>
                    <w:left w:val="single" w:color="000000" w:sz="4"/>
                    <w:bottom w:val="single" w:color="000000" w:sz="4"/>
                    <w:right w:val="single" w:color="000000" w:sz="4"/>
                  </w:tcBorders>
                </w:tcPr>
                <w:p/>
              </w:tc>
              <w:tc>
                <w:tcPr>
                  <w:tcW w:type="dxa" w:w="208"/>
                  <w:vMerge/>
                  <w:tcBorders>
                    <w:top w:val="none" w:color="000000" w:sz="4"/>
                    <w:left w:val="none" w:color="000000" w:sz="4"/>
                    <w:bottom w:val="single" w:color="000000" w:sz="4"/>
                    <w:right w:val="single" w:color="000000" w:sz="4"/>
                  </w:tcBorders>
                </w:tcPr>
                <w:p/>
              </w:tc>
              <w:tc>
                <w:tcPr>
                  <w:tcW w:type="dxa" w:w="294"/>
                  <w:vMerge/>
                  <w:tcBorders>
                    <w:top w:val="none" w:color="000000" w:sz="4"/>
                    <w:left w:val="none" w:color="000000" w:sz="4"/>
                    <w:bottom w:val="single" w:color="000000" w:sz="4"/>
                    <w:right w:val="single" w:color="000000" w:sz="4"/>
                  </w:tcBorders>
                </w:tcPr>
                <w:p/>
              </w:tc>
              <w:tc>
                <w:tcPr>
                  <w:tcW w:type="dxa" w:w="1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w:t>
                  </w:r>
                  <w:r>
                    <w:rPr>
                      <w:rFonts w:ascii="仿宋_GB2312" w:hAnsi="仿宋_GB2312" w:cs="仿宋_GB2312" w:eastAsia="仿宋_GB2312"/>
                      <w:sz w:val="21"/>
                    </w:rPr>
                    <w:t>支持客户端与企业</w:t>
                  </w:r>
                  <w:r>
                    <w:rPr>
                      <w:rFonts w:ascii="仿宋_GB2312" w:hAnsi="仿宋_GB2312" w:cs="仿宋_GB2312" w:eastAsia="仿宋_GB2312"/>
                      <w:sz w:val="21"/>
                    </w:rPr>
                    <w:t>AD域联动，自动获取终端AD域账号并接入网络，支持Windows及MacOS操作系统；</w:t>
                  </w:r>
                </w:p>
              </w:tc>
              <w:tc>
                <w:tcPr>
                  <w:tcW w:type="dxa" w:w="447"/>
                  <w:vMerge/>
                  <w:tcBorders>
                    <w:top w:val="single" w:color="000000" w:sz="4"/>
                    <w:left w:val="none" w:color="000000" w:sz="4"/>
                    <w:bottom w:val="single" w:color="000000" w:sz="4"/>
                    <w:right w:val="single" w:color="000000" w:sz="4"/>
                  </w:tcBorders>
                </w:tcPr>
                <w:p/>
              </w:tc>
            </w:tr>
            <w:tr>
              <w:tc>
                <w:tcPr>
                  <w:tcW w:type="dxa" w:w="239"/>
                  <w:vMerge/>
                  <w:tcBorders>
                    <w:top w:val="none" w:color="000000" w:sz="4"/>
                    <w:left w:val="single" w:color="000000" w:sz="4"/>
                    <w:bottom w:val="single" w:color="000000" w:sz="4"/>
                    <w:right w:val="single" w:color="000000" w:sz="4"/>
                  </w:tcBorders>
                </w:tcPr>
                <w:p/>
              </w:tc>
              <w:tc>
                <w:tcPr>
                  <w:tcW w:type="dxa" w:w="20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用户管理</w:t>
                  </w:r>
                </w:p>
              </w:tc>
              <w:tc>
                <w:tcPr>
                  <w:tcW w:type="dxa" w:w="2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组织架构管理</w:t>
                  </w:r>
                </w:p>
              </w:tc>
              <w:tc>
                <w:tcPr>
                  <w:tcW w:type="dxa" w:w="1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w:t>
                  </w:r>
                  <w:r>
                    <w:rPr>
                      <w:rFonts w:ascii="仿宋_GB2312" w:hAnsi="仿宋_GB2312" w:cs="仿宋_GB2312" w:eastAsia="仿宋_GB2312"/>
                      <w:sz w:val="21"/>
                    </w:rPr>
                    <w:t>支持自动同步企业</w:t>
                  </w:r>
                  <w:r>
                    <w:rPr>
                      <w:rFonts w:ascii="仿宋_GB2312" w:hAnsi="仿宋_GB2312" w:cs="仿宋_GB2312" w:eastAsia="仿宋_GB2312"/>
                      <w:sz w:val="21"/>
                    </w:rPr>
                    <w:t>AD/LDAP上的组织架构部门信息、用户账号信息；支持手工维护组织架构部门和成员信息，允许通过导入导出操作进行批量维护；</w:t>
                  </w:r>
                </w:p>
              </w:tc>
              <w:tc>
                <w:tcPr>
                  <w:tcW w:type="dxa" w:w="447"/>
                  <w:vMerge/>
                  <w:tcBorders>
                    <w:top w:val="single" w:color="000000" w:sz="4"/>
                    <w:left w:val="none" w:color="000000" w:sz="4"/>
                    <w:bottom w:val="single" w:color="000000" w:sz="4"/>
                    <w:right w:val="single" w:color="000000" w:sz="4"/>
                  </w:tcBorders>
                </w:tcPr>
                <w:p/>
              </w:tc>
            </w:tr>
            <w:tr>
              <w:tc>
                <w:tcPr>
                  <w:tcW w:type="dxa" w:w="239"/>
                  <w:vMerge/>
                  <w:tcBorders>
                    <w:top w:val="none" w:color="000000" w:sz="4"/>
                    <w:left w:val="single" w:color="000000" w:sz="4"/>
                    <w:bottom w:val="single" w:color="000000" w:sz="4"/>
                    <w:right w:val="single" w:color="000000" w:sz="4"/>
                  </w:tcBorders>
                </w:tcPr>
                <w:p/>
              </w:tc>
              <w:tc>
                <w:tcPr>
                  <w:tcW w:type="dxa" w:w="208"/>
                  <w:vMerge/>
                  <w:tcBorders>
                    <w:top w:val="none" w:color="000000" w:sz="4"/>
                    <w:left w:val="none" w:color="000000" w:sz="4"/>
                    <w:bottom w:val="single" w:color="000000" w:sz="4"/>
                    <w:right w:val="single" w:color="000000" w:sz="4"/>
                  </w:tcBorders>
                </w:tcPr>
                <w:p/>
              </w:tc>
              <w:tc>
                <w:tcPr>
                  <w:tcW w:type="dxa" w:w="2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身份验证方式</w:t>
                  </w:r>
                </w:p>
              </w:tc>
              <w:tc>
                <w:tcPr>
                  <w:tcW w:type="dxa" w:w="1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支持多种身份认证源：支持系统内置账号认证，微软</w:t>
                  </w:r>
                  <w:r>
                    <w:rPr>
                      <w:rFonts w:ascii="仿宋_GB2312" w:hAnsi="仿宋_GB2312" w:cs="仿宋_GB2312" w:eastAsia="仿宋_GB2312"/>
                      <w:sz w:val="21"/>
                    </w:rPr>
                    <w:t>AD域帐号、LDAP帐号认证，邮件服务器账号认证，支持X.509证书或Ukey认证，第三方RADIUS服务器认证，第三方扩展认证；</w:t>
                  </w:r>
                </w:p>
              </w:tc>
              <w:tc>
                <w:tcPr>
                  <w:tcW w:type="dxa" w:w="447"/>
                  <w:vMerge/>
                  <w:tcBorders>
                    <w:top w:val="single" w:color="000000" w:sz="4"/>
                    <w:left w:val="none" w:color="000000" w:sz="4"/>
                    <w:bottom w:val="single" w:color="000000" w:sz="4"/>
                    <w:right w:val="single" w:color="000000" w:sz="4"/>
                  </w:tcBorders>
                </w:tcPr>
                <w:p/>
              </w:tc>
            </w:tr>
            <w:tr>
              <w:tc>
                <w:tcPr>
                  <w:tcW w:type="dxa" w:w="239"/>
                  <w:vMerge/>
                  <w:tcBorders>
                    <w:top w:val="none" w:color="000000" w:sz="4"/>
                    <w:left w:val="single" w:color="000000" w:sz="4"/>
                    <w:bottom w:val="single" w:color="000000" w:sz="4"/>
                    <w:right w:val="single" w:color="000000" w:sz="4"/>
                  </w:tcBorders>
                </w:tcPr>
                <w:p/>
              </w:tc>
              <w:tc>
                <w:tcPr>
                  <w:tcW w:type="dxa" w:w="208"/>
                  <w:vMerge/>
                  <w:tcBorders>
                    <w:top w:val="none" w:color="000000" w:sz="4"/>
                    <w:left w:val="none" w:color="000000" w:sz="4"/>
                    <w:bottom w:val="single" w:color="000000" w:sz="4"/>
                    <w:right w:val="single" w:color="000000" w:sz="4"/>
                  </w:tcBorders>
                </w:tcPr>
                <w:p/>
              </w:tc>
              <w:tc>
                <w:tcPr>
                  <w:tcW w:type="dxa" w:w="2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外协</w:t>
                  </w:r>
                  <w:r>
                    <w:rPr>
                      <w:rFonts w:ascii="仿宋_GB2312" w:hAnsi="仿宋_GB2312" w:cs="仿宋_GB2312" w:eastAsia="仿宋_GB2312"/>
                      <w:sz w:val="21"/>
                    </w:rPr>
                    <w:t>/访客</w:t>
                  </w:r>
                  <w:r>
                    <w:rPr>
                      <w:rFonts w:ascii="仿宋_GB2312" w:hAnsi="仿宋_GB2312" w:cs="仿宋_GB2312" w:eastAsia="仿宋_GB2312"/>
                      <w:sz w:val="21"/>
                    </w:rPr>
                    <w:t>管理</w:t>
                  </w:r>
                </w:p>
              </w:tc>
              <w:tc>
                <w:tcPr>
                  <w:tcW w:type="dxa" w:w="1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支持</w:t>
                  </w:r>
                  <w:r>
                    <w:rPr>
                      <w:rFonts w:ascii="仿宋_GB2312" w:hAnsi="仿宋_GB2312" w:cs="仿宋_GB2312" w:eastAsia="仿宋_GB2312"/>
                      <w:sz w:val="21"/>
                    </w:rPr>
                    <w:t>访客及</w:t>
                  </w:r>
                  <w:r>
                    <w:rPr>
                      <w:rFonts w:ascii="仿宋_GB2312" w:hAnsi="仿宋_GB2312" w:cs="仿宋_GB2312" w:eastAsia="仿宋_GB2312"/>
                      <w:sz w:val="21"/>
                    </w:rPr>
                    <w:t>驻场外协用户接入，并可以根据</w:t>
                  </w:r>
                  <w:r>
                    <w:rPr>
                      <w:rFonts w:ascii="仿宋_GB2312" w:hAnsi="仿宋_GB2312" w:cs="仿宋_GB2312" w:eastAsia="仿宋_GB2312"/>
                      <w:sz w:val="21"/>
                    </w:rPr>
                    <w:t>访客或</w:t>
                  </w:r>
                  <w:r>
                    <w:rPr>
                      <w:rFonts w:ascii="仿宋_GB2312" w:hAnsi="仿宋_GB2312" w:cs="仿宋_GB2312" w:eastAsia="仿宋_GB2312"/>
                      <w:sz w:val="21"/>
                    </w:rPr>
                    <w:t>外协用户公司及接入时间设置网络访问权限，账号过期后自动失效；</w:t>
                  </w:r>
                </w:p>
              </w:tc>
              <w:tc>
                <w:tcPr>
                  <w:tcW w:type="dxa" w:w="447"/>
                  <w:vMerge/>
                  <w:tcBorders>
                    <w:top w:val="single" w:color="000000" w:sz="4"/>
                    <w:left w:val="none" w:color="000000" w:sz="4"/>
                    <w:bottom w:val="single" w:color="000000" w:sz="4"/>
                    <w:right w:val="single" w:color="000000" w:sz="4"/>
                  </w:tcBorders>
                </w:tcPr>
                <w:p/>
              </w:tc>
            </w:tr>
            <w:tr>
              <w:tc>
                <w:tcPr>
                  <w:tcW w:type="dxa" w:w="239"/>
                  <w:vMerge/>
                  <w:tcBorders>
                    <w:top w:val="none" w:color="000000" w:sz="4"/>
                    <w:left w:val="single" w:color="000000" w:sz="4"/>
                    <w:bottom w:val="single" w:color="000000" w:sz="4"/>
                    <w:right w:val="single" w:color="000000" w:sz="4"/>
                  </w:tcBorders>
                </w:tcPr>
                <w:p/>
              </w:tc>
              <w:tc>
                <w:tcPr>
                  <w:tcW w:type="dxa" w:w="20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网络准入控制</w:t>
                  </w:r>
                </w:p>
              </w:tc>
              <w:tc>
                <w:tcPr>
                  <w:tcW w:type="dxa" w:w="29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802.1x准入控制</w:t>
                  </w:r>
                </w:p>
              </w:tc>
              <w:tc>
                <w:tcPr>
                  <w:tcW w:type="dxa" w:w="1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支持</w:t>
                  </w:r>
                  <w:r>
                    <w:rPr>
                      <w:rFonts w:ascii="仿宋_GB2312" w:hAnsi="仿宋_GB2312" w:cs="仿宋_GB2312" w:eastAsia="仿宋_GB2312"/>
                      <w:sz w:val="21"/>
                    </w:rPr>
                    <w:t>802.1x有线无线网络环境下主流网络设备的动态VLAN切换（Guest VLAN、修复VLAN、工作VLAN）；</w:t>
                  </w:r>
                </w:p>
              </w:tc>
              <w:tc>
                <w:tcPr>
                  <w:tcW w:type="dxa" w:w="447"/>
                  <w:vMerge/>
                  <w:tcBorders>
                    <w:top w:val="single" w:color="000000" w:sz="4"/>
                    <w:left w:val="none" w:color="000000" w:sz="4"/>
                    <w:bottom w:val="single" w:color="000000" w:sz="4"/>
                    <w:right w:val="single" w:color="000000" w:sz="4"/>
                  </w:tcBorders>
                </w:tcPr>
                <w:p/>
              </w:tc>
            </w:tr>
            <w:tr>
              <w:tc>
                <w:tcPr>
                  <w:tcW w:type="dxa" w:w="239"/>
                  <w:vMerge/>
                  <w:tcBorders>
                    <w:top w:val="none" w:color="000000" w:sz="4"/>
                    <w:left w:val="single" w:color="000000" w:sz="4"/>
                    <w:bottom w:val="single" w:color="000000" w:sz="4"/>
                    <w:right w:val="single" w:color="000000" w:sz="4"/>
                  </w:tcBorders>
                </w:tcPr>
                <w:p/>
              </w:tc>
              <w:tc>
                <w:tcPr>
                  <w:tcW w:type="dxa" w:w="208"/>
                  <w:vMerge/>
                  <w:tcBorders>
                    <w:top w:val="none" w:color="000000" w:sz="4"/>
                    <w:left w:val="none" w:color="000000" w:sz="4"/>
                    <w:bottom w:val="single" w:color="000000" w:sz="4"/>
                    <w:right w:val="single" w:color="000000" w:sz="4"/>
                  </w:tcBorders>
                </w:tcPr>
                <w:p/>
              </w:tc>
              <w:tc>
                <w:tcPr>
                  <w:tcW w:type="dxa" w:w="294"/>
                  <w:vMerge/>
                  <w:tcBorders>
                    <w:top w:val="none" w:color="000000" w:sz="4"/>
                    <w:left w:val="none" w:color="000000" w:sz="4"/>
                    <w:bottom w:val="single" w:color="000000" w:sz="4"/>
                    <w:right w:val="single" w:color="000000" w:sz="4"/>
                  </w:tcBorders>
                </w:tcPr>
                <w:p/>
              </w:tc>
              <w:tc>
                <w:tcPr>
                  <w:tcW w:type="dxa" w:w="1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支持</w:t>
                  </w:r>
                  <w:r>
                    <w:rPr>
                      <w:rFonts w:ascii="仿宋_GB2312" w:hAnsi="仿宋_GB2312" w:cs="仿宋_GB2312" w:eastAsia="仿宋_GB2312"/>
                      <w:sz w:val="21"/>
                    </w:rPr>
                    <w:t>802.1x有线无线网络环境下主流网络设备的ACL动态下发；</w:t>
                  </w:r>
                </w:p>
              </w:tc>
              <w:tc>
                <w:tcPr>
                  <w:tcW w:type="dxa" w:w="447"/>
                  <w:vMerge/>
                  <w:tcBorders>
                    <w:top w:val="single" w:color="000000" w:sz="4"/>
                    <w:left w:val="none" w:color="000000" w:sz="4"/>
                    <w:bottom w:val="single" w:color="000000" w:sz="4"/>
                    <w:right w:val="single" w:color="000000" w:sz="4"/>
                  </w:tcBorders>
                </w:tcPr>
                <w:p/>
              </w:tc>
            </w:tr>
            <w:tr>
              <w:tc>
                <w:tcPr>
                  <w:tcW w:type="dxa" w:w="239"/>
                  <w:vMerge/>
                  <w:tcBorders>
                    <w:top w:val="none" w:color="000000" w:sz="4"/>
                    <w:left w:val="single" w:color="000000" w:sz="4"/>
                    <w:bottom w:val="single" w:color="000000" w:sz="4"/>
                    <w:right w:val="single" w:color="000000" w:sz="4"/>
                  </w:tcBorders>
                </w:tcPr>
                <w:p/>
              </w:tc>
              <w:tc>
                <w:tcPr>
                  <w:tcW w:type="dxa" w:w="208"/>
                  <w:vMerge/>
                  <w:tcBorders>
                    <w:top w:val="none" w:color="000000" w:sz="4"/>
                    <w:left w:val="none" w:color="000000" w:sz="4"/>
                    <w:bottom w:val="single" w:color="000000" w:sz="4"/>
                    <w:right w:val="single" w:color="000000" w:sz="4"/>
                  </w:tcBorders>
                </w:tcPr>
                <w:p/>
              </w:tc>
              <w:tc>
                <w:tcPr>
                  <w:tcW w:type="dxa" w:w="294"/>
                  <w:vMerge/>
                  <w:tcBorders>
                    <w:top w:val="none" w:color="000000" w:sz="4"/>
                    <w:left w:val="none" w:color="000000" w:sz="4"/>
                    <w:bottom w:val="single" w:color="000000" w:sz="4"/>
                    <w:right w:val="single" w:color="000000" w:sz="4"/>
                  </w:tcBorders>
                </w:tcPr>
                <w:p/>
              </w:tc>
              <w:tc>
                <w:tcPr>
                  <w:tcW w:type="dxa" w:w="1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支持</w:t>
                  </w:r>
                  <w:r>
                    <w:rPr>
                      <w:rFonts w:ascii="仿宋_GB2312" w:hAnsi="仿宋_GB2312" w:cs="仿宋_GB2312" w:eastAsia="仿宋_GB2312"/>
                      <w:sz w:val="21"/>
                    </w:rPr>
                    <w:t>802.1x技术下，对指定的免检设备通过MAC地址进行准入放行操作，并下发权限控制策略；</w:t>
                  </w:r>
                </w:p>
              </w:tc>
              <w:tc>
                <w:tcPr>
                  <w:tcW w:type="dxa" w:w="447"/>
                  <w:vMerge/>
                  <w:tcBorders>
                    <w:top w:val="single" w:color="000000" w:sz="4"/>
                    <w:left w:val="none" w:color="000000" w:sz="4"/>
                    <w:bottom w:val="single" w:color="000000" w:sz="4"/>
                    <w:right w:val="single" w:color="000000" w:sz="4"/>
                  </w:tcBorders>
                </w:tcPr>
                <w:p/>
              </w:tc>
            </w:tr>
            <w:tr>
              <w:tc>
                <w:tcPr>
                  <w:tcW w:type="dxa" w:w="239"/>
                  <w:vMerge/>
                  <w:tcBorders>
                    <w:top w:val="none" w:color="000000" w:sz="4"/>
                    <w:left w:val="single" w:color="000000" w:sz="4"/>
                    <w:bottom w:val="single" w:color="000000" w:sz="4"/>
                    <w:right w:val="single" w:color="000000" w:sz="4"/>
                  </w:tcBorders>
                </w:tcPr>
                <w:p/>
              </w:tc>
              <w:tc>
                <w:tcPr>
                  <w:tcW w:type="dxa" w:w="208"/>
                  <w:vMerge/>
                  <w:tcBorders>
                    <w:top w:val="none" w:color="000000" w:sz="4"/>
                    <w:left w:val="none" w:color="000000" w:sz="4"/>
                    <w:bottom w:val="single" w:color="000000" w:sz="4"/>
                    <w:right w:val="single" w:color="000000" w:sz="4"/>
                  </w:tcBorders>
                </w:tcPr>
                <w:p/>
              </w:tc>
              <w:tc>
                <w:tcPr>
                  <w:tcW w:type="dxa" w:w="2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Portal准入控制</w:t>
                  </w:r>
                </w:p>
              </w:tc>
              <w:tc>
                <w:tcPr>
                  <w:tcW w:type="dxa" w:w="1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支持通过</w:t>
                  </w:r>
                  <w:r>
                    <w:rPr>
                      <w:rFonts w:ascii="仿宋_GB2312" w:hAnsi="仿宋_GB2312" w:cs="仿宋_GB2312" w:eastAsia="仿宋_GB2312"/>
                      <w:sz w:val="21"/>
                    </w:rPr>
                    <w:t>Portal/Portal+协议与网络设备或无线AC联动准入，且支持动态ACL下发、支持HTTPS重定向；</w:t>
                  </w:r>
                </w:p>
              </w:tc>
              <w:tc>
                <w:tcPr>
                  <w:tcW w:type="dxa" w:w="447"/>
                  <w:vMerge/>
                  <w:tcBorders>
                    <w:top w:val="single" w:color="000000" w:sz="4"/>
                    <w:left w:val="none" w:color="000000" w:sz="4"/>
                    <w:bottom w:val="single" w:color="000000" w:sz="4"/>
                    <w:right w:val="single" w:color="000000" w:sz="4"/>
                  </w:tcBorders>
                </w:tcPr>
                <w:p/>
              </w:tc>
            </w:tr>
            <w:tr>
              <w:tc>
                <w:tcPr>
                  <w:tcW w:type="dxa" w:w="239"/>
                  <w:vMerge/>
                  <w:tcBorders>
                    <w:top w:val="none" w:color="000000" w:sz="4"/>
                    <w:left w:val="single" w:color="000000" w:sz="4"/>
                    <w:bottom w:val="single" w:color="000000" w:sz="4"/>
                    <w:right w:val="single" w:color="000000" w:sz="4"/>
                  </w:tcBorders>
                </w:tcPr>
                <w:p/>
              </w:tc>
              <w:tc>
                <w:tcPr>
                  <w:tcW w:type="dxa" w:w="208"/>
                  <w:vMerge/>
                  <w:tcBorders>
                    <w:top w:val="none" w:color="000000" w:sz="4"/>
                    <w:left w:val="none" w:color="000000" w:sz="4"/>
                    <w:bottom w:val="single" w:color="000000" w:sz="4"/>
                    <w:right w:val="single" w:color="000000" w:sz="4"/>
                  </w:tcBorders>
                </w:tcPr>
                <w:p/>
              </w:tc>
              <w:tc>
                <w:tcPr>
                  <w:tcW w:type="dxa" w:w="29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网关准入控制</w:t>
                  </w:r>
                </w:p>
              </w:tc>
              <w:tc>
                <w:tcPr>
                  <w:tcW w:type="dxa" w:w="1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w:t>
                  </w:r>
                  <w:r>
                    <w:rPr>
                      <w:rFonts w:ascii="仿宋_GB2312" w:hAnsi="仿宋_GB2312" w:cs="仿宋_GB2312" w:eastAsia="仿宋_GB2312"/>
                      <w:sz w:val="21"/>
                    </w:rPr>
                    <w:t>支持对指定的免检设备通过</w:t>
                  </w:r>
                  <w:r>
                    <w:rPr>
                      <w:rFonts w:ascii="仿宋_GB2312" w:hAnsi="仿宋_GB2312" w:cs="仿宋_GB2312" w:eastAsia="仿宋_GB2312"/>
                      <w:sz w:val="21"/>
                    </w:rPr>
                    <w:t>IP地址进行准入放行操作，并下发权限控制策略；</w:t>
                  </w:r>
                </w:p>
              </w:tc>
              <w:tc>
                <w:tcPr>
                  <w:tcW w:type="dxa" w:w="447"/>
                  <w:vMerge/>
                  <w:tcBorders>
                    <w:top w:val="single" w:color="000000" w:sz="4"/>
                    <w:left w:val="none" w:color="000000" w:sz="4"/>
                    <w:bottom w:val="single" w:color="000000" w:sz="4"/>
                    <w:right w:val="single" w:color="000000" w:sz="4"/>
                  </w:tcBorders>
                </w:tcPr>
                <w:p/>
              </w:tc>
            </w:tr>
            <w:tr>
              <w:tc>
                <w:tcPr>
                  <w:tcW w:type="dxa" w:w="239"/>
                  <w:vMerge/>
                  <w:tcBorders>
                    <w:top w:val="none" w:color="000000" w:sz="4"/>
                    <w:left w:val="single" w:color="000000" w:sz="4"/>
                    <w:bottom w:val="single" w:color="000000" w:sz="4"/>
                    <w:right w:val="single" w:color="000000" w:sz="4"/>
                  </w:tcBorders>
                </w:tcPr>
                <w:p/>
              </w:tc>
              <w:tc>
                <w:tcPr>
                  <w:tcW w:type="dxa" w:w="208"/>
                  <w:vMerge/>
                  <w:tcBorders>
                    <w:top w:val="none" w:color="000000" w:sz="4"/>
                    <w:left w:val="none" w:color="000000" w:sz="4"/>
                    <w:bottom w:val="single" w:color="000000" w:sz="4"/>
                    <w:right w:val="single" w:color="000000" w:sz="4"/>
                  </w:tcBorders>
                </w:tcPr>
                <w:p/>
              </w:tc>
              <w:tc>
                <w:tcPr>
                  <w:tcW w:type="dxa" w:w="294"/>
                  <w:vMerge/>
                  <w:tcBorders>
                    <w:top w:val="none" w:color="000000" w:sz="4"/>
                    <w:left w:val="none" w:color="000000" w:sz="4"/>
                    <w:bottom w:val="single" w:color="000000" w:sz="4"/>
                    <w:right w:val="single" w:color="000000" w:sz="4"/>
                  </w:tcBorders>
                </w:tcPr>
                <w:p/>
              </w:tc>
              <w:tc>
                <w:tcPr>
                  <w:tcW w:type="dxa" w:w="1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支持自动判断打印机、网络摄像头、</w:t>
                  </w:r>
                  <w:r>
                    <w:rPr>
                      <w:rFonts w:ascii="仿宋_GB2312" w:hAnsi="仿宋_GB2312" w:cs="仿宋_GB2312" w:eastAsia="仿宋_GB2312"/>
                      <w:sz w:val="21"/>
                    </w:rPr>
                    <w:t>IP电话等，并对这些设备进行自动入网授权，入网权限按照设备类型分配；</w:t>
                  </w:r>
                </w:p>
              </w:tc>
              <w:tc>
                <w:tcPr>
                  <w:tcW w:type="dxa" w:w="447"/>
                  <w:vMerge/>
                  <w:tcBorders>
                    <w:top w:val="single" w:color="000000" w:sz="4"/>
                    <w:left w:val="none" w:color="000000" w:sz="4"/>
                    <w:bottom w:val="single" w:color="000000" w:sz="4"/>
                    <w:right w:val="single" w:color="000000" w:sz="4"/>
                  </w:tcBorders>
                </w:tcPr>
                <w:p/>
              </w:tc>
            </w:tr>
            <w:tr>
              <w:tc>
                <w:tcPr>
                  <w:tcW w:type="dxa" w:w="239"/>
                  <w:vMerge/>
                  <w:tcBorders>
                    <w:top w:val="none" w:color="000000" w:sz="4"/>
                    <w:left w:val="single" w:color="000000" w:sz="4"/>
                    <w:bottom w:val="single" w:color="000000" w:sz="4"/>
                    <w:right w:val="single" w:color="000000" w:sz="4"/>
                  </w:tcBorders>
                </w:tcPr>
                <w:p/>
              </w:tc>
              <w:tc>
                <w:tcPr>
                  <w:tcW w:type="dxa" w:w="208"/>
                  <w:vMerge/>
                  <w:tcBorders>
                    <w:top w:val="none" w:color="000000" w:sz="4"/>
                    <w:left w:val="none" w:color="000000" w:sz="4"/>
                    <w:bottom w:val="single" w:color="000000" w:sz="4"/>
                    <w:right w:val="single" w:color="000000" w:sz="4"/>
                  </w:tcBorders>
                </w:tcPr>
                <w:p/>
              </w:tc>
              <w:tc>
                <w:tcPr>
                  <w:tcW w:type="dxa" w:w="294"/>
                  <w:vMerge/>
                  <w:tcBorders>
                    <w:top w:val="none" w:color="000000" w:sz="4"/>
                    <w:left w:val="none" w:color="000000" w:sz="4"/>
                    <w:bottom w:val="single" w:color="000000" w:sz="4"/>
                    <w:right w:val="single" w:color="000000" w:sz="4"/>
                  </w:tcBorders>
                </w:tcPr>
                <w:p/>
              </w:tc>
              <w:tc>
                <w:tcPr>
                  <w:tcW w:type="dxa" w:w="1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支持对免检设备进行仿冒检查，可检测出通过</w:t>
                  </w:r>
                  <w:r>
                    <w:rPr>
                      <w:rFonts w:ascii="仿宋_GB2312" w:hAnsi="仿宋_GB2312" w:cs="仿宋_GB2312" w:eastAsia="仿宋_GB2312"/>
                      <w:sz w:val="21"/>
                    </w:rPr>
                    <w:t>IP／MAC伪装方式接入网络的行为，支持基于设备行为特征的仿冒检查，并可将仿冒设备隔离;</w:t>
                  </w:r>
                  <w:r>
                    <w:rPr>
                      <w:rFonts w:ascii="仿宋_GB2312" w:hAnsi="仿宋_GB2312" w:cs="仿宋_GB2312" w:eastAsia="仿宋_GB2312"/>
                      <w:sz w:val="21"/>
                    </w:rPr>
                    <w:t>（</w:t>
                  </w:r>
                  <w:r>
                    <w:rPr>
                      <w:rFonts w:ascii="仿宋_GB2312" w:hAnsi="仿宋_GB2312" w:cs="仿宋_GB2312" w:eastAsia="仿宋_GB2312"/>
                      <w:sz w:val="21"/>
                      <w:b/>
                    </w:rPr>
                    <w:t>须进行功能演示</w:t>
                  </w:r>
                  <w:r>
                    <w:rPr>
                      <w:rFonts w:ascii="仿宋_GB2312" w:hAnsi="仿宋_GB2312" w:cs="仿宋_GB2312" w:eastAsia="仿宋_GB2312"/>
                      <w:sz w:val="21"/>
                    </w:rPr>
                    <w:t>）</w:t>
                  </w:r>
                </w:p>
              </w:tc>
              <w:tc>
                <w:tcPr>
                  <w:tcW w:type="dxa" w:w="447"/>
                  <w:vMerge/>
                  <w:tcBorders>
                    <w:top w:val="single" w:color="000000" w:sz="4"/>
                    <w:left w:val="none" w:color="000000" w:sz="4"/>
                    <w:bottom w:val="single" w:color="000000" w:sz="4"/>
                    <w:right w:val="single" w:color="000000" w:sz="4"/>
                  </w:tcBorders>
                </w:tcPr>
                <w:p/>
              </w:tc>
            </w:tr>
            <w:tr>
              <w:tc>
                <w:tcPr>
                  <w:tcW w:type="dxa" w:w="239"/>
                  <w:vMerge/>
                  <w:tcBorders>
                    <w:top w:val="none" w:color="000000" w:sz="4"/>
                    <w:left w:val="single" w:color="000000" w:sz="4"/>
                    <w:bottom w:val="single" w:color="000000" w:sz="4"/>
                    <w:right w:val="single" w:color="000000" w:sz="4"/>
                  </w:tcBorders>
                </w:tcPr>
                <w:p/>
              </w:tc>
              <w:tc>
                <w:tcPr>
                  <w:tcW w:type="dxa" w:w="208"/>
                  <w:vMerge/>
                  <w:tcBorders>
                    <w:top w:val="none" w:color="000000" w:sz="4"/>
                    <w:left w:val="none" w:color="000000" w:sz="4"/>
                    <w:bottom w:val="single" w:color="000000" w:sz="4"/>
                    <w:right w:val="single" w:color="000000" w:sz="4"/>
                  </w:tcBorders>
                </w:tcPr>
                <w:p/>
              </w:tc>
              <w:tc>
                <w:tcPr>
                  <w:tcW w:type="dxa" w:w="294"/>
                  <w:vMerge/>
                  <w:tcBorders>
                    <w:top w:val="none" w:color="000000" w:sz="4"/>
                    <w:left w:val="none" w:color="000000" w:sz="4"/>
                    <w:bottom w:val="single" w:color="000000" w:sz="4"/>
                    <w:right w:val="single" w:color="000000" w:sz="4"/>
                  </w:tcBorders>
                </w:tcPr>
                <w:p/>
              </w:tc>
              <w:tc>
                <w:tcPr>
                  <w:tcW w:type="dxa" w:w="1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支持自动识别指定</w:t>
                  </w:r>
                  <w:r>
                    <w:rPr>
                      <w:rFonts w:ascii="仿宋_GB2312" w:hAnsi="仿宋_GB2312" w:cs="仿宋_GB2312" w:eastAsia="仿宋_GB2312"/>
                      <w:sz w:val="21"/>
                    </w:rPr>
                    <w:t>AD域、邮件服务器的PC，自动准入发现并下发权限控制策略；</w:t>
                  </w:r>
                </w:p>
              </w:tc>
              <w:tc>
                <w:tcPr>
                  <w:tcW w:type="dxa" w:w="447"/>
                  <w:vMerge/>
                  <w:tcBorders>
                    <w:top w:val="single" w:color="000000" w:sz="4"/>
                    <w:left w:val="none" w:color="000000" w:sz="4"/>
                    <w:bottom w:val="single" w:color="000000" w:sz="4"/>
                    <w:right w:val="single" w:color="000000" w:sz="4"/>
                  </w:tcBorders>
                </w:tcPr>
                <w:p/>
              </w:tc>
            </w:tr>
            <w:tr>
              <w:tc>
                <w:tcPr>
                  <w:tcW w:type="dxa" w:w="239"/>
                  <w:vMerge/>
                  <w:tcBorders>
                    <w:top w:val="none" w:color="000000" w:sz="4"/>
                    <w:left w:val="single" w:color="000000" w:sz="4"/>
                    <w:bottom w:val="single" w:color="000000" w:sz="4"/>
                    <w:right w:val="single" w:color="000000" w:sz="4"/>
                  </w:tcBorders>
                </w:tcPr>
                <w:p/>
              </w:tc>
              <w:tc>
                <w:tcPr>
                  <w:tcW w:type="dxa" w:w="20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准入安全检查</w:t>
                  </w:r>
                </w:p>
              </w:tc>
              <w:tc>
                <w:tcPr>
                  <w:tcW w:type="dxa" w:w="2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Windows安全检查</w:t>
                  </w:r>
                </w:p>
              </w:tc>
              <w:tc>
                <w:tcPr>
                  <w:tcW w:type="dxa" w:w="1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支持</w:t>
                  </w:r>
                  <w:r>
                    <w:rPr>
                      <w:rFonts w:ascii="仿宋_GB2312" w:hAnsi="仿宋_GB2312" w:cs="仿宋_GB2312" w:eastAsia="仿宋_GB2312"/>
                      <w:sz w:val="21"/>
                    </w:rPr>
                    <w:t>Windows设备安全检查，如：防病毒软件检查、终端启用guest账号检查；终端弱口令账号检查；终端是否加域检查；终端共享目录检查；终端系统补丁检查；终端系统版本检查；终端服务安装检查等；</w:t>
                  </w:r>
                </w:p>
              </w:tc>
              <w:tc>
                <w:tcPr>
                  <w:tcW w:type="dxa" w:w="447"/>
                  <w:vMerge/>
                  <w:tcBorders>
                    <w:top w:val="single" w:color="000000" w:sz="4"/>
                    <w:left w:val="none" w:color="000000" w:sz="4"/>
                    <w:bottom w:val="single" w:color="000000" w:sz="4"/>
                    <w:right w:val="single" w:color="000000" w:sz="4"/>
                  </w:tcBorders>
                </w:tcPr>
                <w:p/>
              </w:tc>
            </w:tr>
            <w:tr>
              <w:tc>
                <w:tcPr>
                  <w:tcW w:type="dxa" w:w="239"/>
                  <w:vMerge/>
                  <w:tcBorders>
                    <w:top w:val="none" w:color="000000" w:sz="4"/>
                    <w:left w:val="single" w:color="000000" w:sz="4"/>
                    <w:bottom w:val="single" w:color="000000" w:sz="4"/>
                    <w:right w:val="single" w:color="000000" w:sz="4"/>
                  </w:tcBorders>
                </w:tcPr>
                <w:p/>
              </w:tc>
              <w:tc>
                <w:tcPr>
                  <w:tcW w:type="dxa" w:w="208"/>
                  <w:vMerge/>
                  <w:tcBorders>
                    <w:top w:val="none" w:color="000000" w:sz="4"/>
                    <w:left w:val="none" w:color="000000" w:sz="4"/>
                    <w:bottom w:val="single" w:color="000000" w:sz="4"/>
                    <w:right w:val="single" w:color="000000" w:sz="4"/>
                  </w:tcBorders>
                </w:tcPr>
                <w:p/>
              </w:tc>
              <w:tc>
                <w:tcPr>
                  <w:tcW w:type="dxa" w:w="2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Linux安全检查</w:t>
                  </w:r>
                </w:p>
              </w:tc>
              <w:tc>
                <w:tcPr>
                  <w:tcW w:type="dxa" w:w="1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支持</w:t>
                  </w:r>
                  <w:r>
                    <w:rPr>
                      <w:rFonts w:ascii="仿宋_GB2312" w:hAnsi="仿宋_GB2312" w:cs="仿宋_GB2312" w:eastAsia="仿宋_GB2312"/>
                      <w:sz w:val="21"/>
                    </w:rPr>
                    <w:t>Liunx操作系统进程检查，如：防病毒软件进程、系统软件进程、第三方软件进程；</w:t>
                  </w:r>
                </w:p>
              </w:tc>
              <w:tc>
                <w:tcPr>
                  <w:tcW w:type="dxa" w:w="447"/>
                  <w:vMerge/>
                  <w:tcBorders>
                    <w:top w:val="single" w:color="000000" w:sz="4"/>
                    <w:left w:val="none" w:color="000000" w:sz="4"/>
                    <w:bottom w:val="single" w:color="000000" w:sz="4"/>
                    <w:right w:val="single" w:color="000000" w:sz="4"/>
                  </w:tcBorders>
                </w:tcPr>
                <w:p/>
              </w:tc>
            </w:tr>
            <w:tr>
              <w:tc>
                <w:tcPr>
                  <w:tcW w:type="dxa" w:w="239"/>
                  <w:vMerge/>
                  <w:tcBorders>
                    <w:top w:val="none" w:color="000000" w:sz="4"/>
                    <w:left w:val="single" w:color="000000" w:sz="4"/>
                    <w:bottom w:val="single" w:color="000000" w:sz="4"/>
                    <w:right w:val="single" w:color="000000" w:sz="4"/>
                  </w:tcBorders>
                </w:tcPr>
                <w:p/>
              </w:tc>
              <w:tc>
                <w:tcPr>
                  <w:tcW w:type="dxa" w:w="208"/>
                  <w:vMerge/>
                  <w:tcBorders>
                    <w:top w:val="none" w:color="000000" w:sz="4"/>
                    <w:left w:val="none" w:color="000000" w:sz="4"/>
                    <w:bottom w:val="single" w:color="000000" w:sz="4"/>
                    <w:right w:val="single" w:color="000000" w:sz="4"/>
                  </w:tcBorders>
                </w:tcPr>
                <w:p/>
              </w:tc>
              <w:tc>
                <w:tcPr>
                  <w:tcW w:type="dxa" w:w="2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MacOS安全检查</w:t>
                  </w:r>
                </w:p>
              </w:tc>
              <w:tc>
                <w:tcPr>
                  <w:tcW w:type="dxa" w:w="1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支持</w:t>
                  </w:r>
                  <w:r>
                    <w:rPr>
                      <w:rFonts w:ascii="仿宋_GB2312" w:hAnsi="仿宋_GB2312" w:cs="仿宋_GB2312" w:eastAsia="仿宋_GB2312"/>
                      <w:sz w:val="21"/>
                    </w:rPr>
                    <w:t>MacOS安全检查，如：软件安装检查、终端是否加域检查；</w:t>
                  </w:r>
                </w:p>
              </w:tc>
              <w:tc>
                <w:tcPr>
                  <w:tcW w:type="dxa" w:w="447"/>
                  <w:vMerge/>
                  <w:tcBorders>
                    <w:top w:val="single" w:color="000000" w:sz="4"/>
                    <w:left w:val="none" w:color="000000" w:sz="4"/>
                    <w:bottom w:val="single" w:color="000000" w:sz="4"/>
                    <w:right w:val="single" w:color="000000" w:sz="4"/>
                  </w:tcBorders>
                </w:tcPr>
                <w:p/>
              </w:tc>
            </w:tr>
            <w:tr>
              <w:tc>
                <w:tcPr>
                  <w:tcW w:type="dxa" w:w="239"/>
                  <w:vMerge/>
                  <w:tcBorders>
                    <w:top w:val="none" w:color="000000" w:sz="4"/>
                    <w:left w:val="single" w:color="000000" w:sz="4"/>
                    <w:bottom w:val="single" w:color="000000" w:sz="4"/>
                    <w:right w:val="single" w:color="000000" w:sz="4"/>
                  </w:tcBorders>
                </w:tcPr>
                <w:p/>
              </w:tc>
              <w:tc>
                <w:tcPr>
                  <w:tcW w:type="dxa" w:w="208"/>
                  <w:vMerge/>
                  <w:tcBorders>
                    <w:top w:val="none" w:color="000000" w:sz="4"/>
                    <w:left w:val="none" w:color="000000" w:sz="4"/>
                    <w:bottom w:val="single" w:color="000000" w:sz="4"/>
                    <w:right w:val="single" w:color="000000" w:sz="4"/>
                  </w:tcBorders>
                </w:tcPr>
                <w:p/>
              </w:tc>
              <w:tc>
                <w:tcPr>
                  <w:tcW w:type="dxa" w:w="2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安检失败隔离控制</w:t>
                  </w:r>
                </w:p>
              </w:tc>
              <w:tc>
                <w:tcPr>
                  <w:tcW w:type="dxa" w:w="1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支持终端安全检查失败本地</w:t>
                  </w:r>
                  <w:r>
                    <w:rPr>
                      <w:rFonts w:ascii="仿宋_GB2312" w:hAnsi="仿宋_GB2312" w:cs="仿宋_GB2312" w:eastAsia="仿宋_GB2312"/>
                      <w:sz w:val="21"/>
                    </w:rPr>
                    <w:t>ACL隔离机制，可基于协议、特定地址、IP范围来控制终端访问权限；</w:t>
                  </w:r>
                </w:p>
              </w:tc>
              <w:tc>
                <w:tcPr>
                  <w:tcW w:type="dxa" w:w="447"/>
                  <w:vMerge/>
                  <w:tcBorders>
                    <w:top w:val="single" w:color="000000" w:sz="4"/>
                    <w:left w:val="none" w:color="000000" w:sz="4"/>
                    <w:bottom w:val="single" w:color="000000" w:sz="4"/>
                    <w:right w:val="single" w:color="000000" w:sz="4"/>
                  </w:tcBorders>
                </w:tcPr>
                <w:p/>
              </w:tc>
            </w:tr>
            <w:tr>
              <w:tc>
                <w:tcPr>
                  <w:tcW w:type="dxa" w:w="239"/>
                  <w:vMerge/>
                  <w:tcBorders>
                    <w:top w:val="none" w:color="000000" w:sz="4"/>
                    <w:left w:val="single" w:color="000000" w:sz="4"/>
                    <w:bottom w:val="single" w:color="000000" w:sz="4"/>
                    <w:right w:val="single" w:color="000000" w:sz="4"/>
                  </w:tcBorders>
                </w:tcPr>
                <w:p/>
              </w:tc>
              <w:tc>
                <w:tcPr>
                  <w:tcW w:type="dxa" w:w="208"/>
                  <w:vMerge/>
                  <w:tcBorders>
                    <w:top w:val="none" w:color="000000" w:sz="4"/>
                    <w:left w:val="none" w:color="000000" w:sz="4"/>
                    <w:bottom w:val="single" w:color="000000" w:sz="4"/>
                    <w:right w:val="single" w:color="000000" w:sz="4"/>
                  </w:tcBorders>
                </w:tcPr>
                <w:p/>
              </w:tc>
              <w:tc>
                <w:tcPr>
                  <w:tcW w:type="dxa" w:w="2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修复向导</w:t>
                  </w:r>
                </w:p>
              </w:tc>
              <w:tc>
                <w:tcPr>
                  <w:tcW w:type="dxa" w:w="1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w:t>
                  </w:r>
                  <w:r>
                    <w:rPr>
                      <w:rFonts w:ascii="仿宋_GB2312" w:hAnsi="仿宋_GB2312" w:cs="仿宋_GB2312" w:eastAsia="仿宋_GB2312"/>
                      <w:sz w:val="21"/>
                    </w:rPr>
                    <w:t>支持终端修复向导，内置向导页面内容可编辑，同时也支持</w:t>
                  </w:r>
                  <w:r>
                    <w:rPr>
                      <w:rFonts w:ascii="仿宋_GB2312" w:hAnsi="仿宋_GB2312" w:cs="仿宋_GB2312" w:eastAsia="仿宋_GB2312"/>
                      <w:sz w:val="21"/>
                    </w:rPr>
                    <w:t>url外链修复页面；</w:t>
                  </w:r>
                </w:p>
              </w:tc>
              <w:tc>
                <w:tcPr>
                  <w:tcW w:type="dxa" w:w="447"/>
                  <w:vMerge/>
                  <w:tcBorders>
                    <w:top w:val="single" w:color="000000" w:sz="4"/>
                    <w:left w:val="none" w:color="000000" w:sz="4"/>
                    <w:bottom w:val="single" w:color="000000" w:sz="4"/>
                    <w:right w:val="single" w:color="000000" w:sz="4"/>
                  </w:tcBorders>
                </w:tcPr>
                <w:p/>
              </w:tc>
            </w:tr>
            <w:tr>
              <w:tc>
                <w:tcPr>
                  <w:tcW w:type="dxa" w:w="239"/>
                  <w:vMerge/>
                  <w:tcBorders>
                    <w:top w:val="none" w:color="000000" w:sz="4"/>
                    <w:left w:val="single" w:color="000000" w:sz="4"/>
                    <w:bottom w:val="single" w:color="000000" w:sz="4"/>
                    <w:right w:val="single" w:color="000000" w:sz="4"/>
                  </w:tcBorders>
                </w:tcPr>
                <w:p/>
              </w:tc>
              <w:tc>
                <w:tcPr>
                  <w:tcW w:type="dxa" w:w="208"/>
                  <w:vMerge/>
                  <w:tcBorders>
                    <w:top w:val="none" w:color="000000" w:sz="4"/>
                    <w:left w:val="none" w:color="000000" w:sz="4"/>
                    <w:bottom w:val="single" w:color="000000" w:sz="4"/>
                    <w:right w:val="single" w:color="000000" w:sz="4"/>
                  </w:tcBorders>
                </w:tcPr>
                <w:p/>
              </w:tc>
              <w:tc>
                <w:tcPr>
                  <w:tcW w:type="dxa" w:w="2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禁止虚拟机入网</w:t>
                  </w:r>
                </w:p>
              </w:tc>
              <w:tc>
                <w:tcPr>
                  <w:tcW w:type="dxa" w:w="1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禁止安装在电脑上的虚拟机入网，防止宿主机逃逸；</w:t>
                  </w:r>
                </w:p>
              </w:tc>
              <w:tc>
                <w:tcPr>
                  <w:tcW w:type="dxa" w:w="447"/>
                  <w:vMerge/>
                  <w:tcBorders>
                    <w:top w:val="single" w:color="000000" w:sz="4"/>
                    <w:left w:val="none" w:color="000000" w:sz="4"/>
                    <w:bottom w:val="single" w:color="000000" w:sz="4"/>
                    <w:right w:val="single" w:color="000000" w:sz="4"/>
                  </w:tcBorders>
                </w:tcPr>
                <w:p/>
              </w:tc>
            </w:tr>
            <w:tr>
              <w:tc>
                <w:tcPr>
                  <w:tcW w:type="dxa" w:w="239"/>
                  <w:vMerge/>
                  <w:tcBorders>
                    <w:top w:val="none" w:color="000000" w:sz="4"/>
                    <w:left w:val="single" w:color="000000" w:sz="4"/>
                    <w:bottom w:val="single" w:color="000000" w:sz="4"/>
                    <w:right w:val="single" w:color="000000" w:sz="4"/>
                  </w:tcBorders>
                </w:tcPr>
                <w:p/>
              </w:tc>
              <w:tc>
                <w:tcPr>
                  <w:tcW w:type="dxa" w:w="208"/>
                  <w:vMerge/>
                  <w:tcBorders>
                    <w:top w:val="none" w:color="000000" w:sz="4"/>
                    <w:left w:val="none" w:color="000000" w:sz="4"/>
                    <w:bottom w:val="single" w:color="000000" w:sz="4"/>
                    <w:right w:val="single" w:color="000000" w:sz="4"/>
                  </w:tcBorders>
                </w:tcPr>
                <w:p/>
              </w:tc>
              <w:tc>
                <w:tcPr>
                  <w:tcW w:type="dxa" w:w="2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一键修复</w:t>
                  </w:r>
                </w:p>
              </w:tc>
              <w:tc>
                <w:tcPr>
                  <w:tcW w:type="dxa" w:w="1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支持</w:t>
                  </w:r>
                  <w:r>
                    <w:rPr>
                      <w:rFonts w:ascii="仿宋_GB2312" w:hAnsi="仿宋_GB2312" w:cs="仿宋_GB2312" w:eastAsia="仿宋_GB2312"/>
                      <w:sz w:val="21"/>
                    </w:rPr>
                    <w:t>Windows终端一键修复，如：软件安装卸载、终端启用guest账号、终端共享目录、终端系统补丁等；</w:t>
                  </w:r>
                </w:p>
              </w:tc>
              <w:tc>
                <w:tcPr>
                  <w:tcW w:type="dxa" w:w="447"/>
                  <w:vMerge/>
                  <w:tcBorders>
                    <w:top w:val="single" w:color="000000" w:sz="4"/>
                    <w:left w:val="none" w:color="000000" w:sz="4"/>
                    <w:bottom w:val="single" w:color="000000" w:sz="4"/>
                    <w:right w:val="single" w:color="000000" w:sz="4"/>
                  </w:tcBorders>
                </w:tcPr>
                <w:p/>
              </w:tc>
            </w:tr>
            <w:tr>
              <w:tc>
                <w:tcPr>
                  <w:tcW w:type="dxa" w:w="239"/>
                  <w:vMerge/>
                  <w:tcBorders>
                    <w:top w:val="none" w:color="000000" w:sz="4"/>
                    <w:left w:val="single" w:color="000000" w:sz="4"/>
                    <w:bottom w:val="single" w:color="000000" w:sz="4"/>
                    <w:right w:val="single" w:color="000000" w:sz="4"/>
                  </w:tcBorders>
                </w:tcPr>
                <w:p/>
              </w:tc>
              <w:tc>
                <w:tcPr>
                  <w:tcW w:type="dxa" w:w="20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准入安全规则绑定</w:t>
                  </w:r>
                </w:p>
              </w:tc>
              <w:tc>
                <w:tcPr>
                  <w:tcW w:type="dxa" w:w="2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用户及接入控制点设备绑定</w:t>
                  </w:r>
                </w:p>
              </w:tc>
              <w:tc>
                <w:tcPr>
                  <w:tcW w:type="dxa" w:w="1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支持对接入终端、接入用户或部门以及接入控制点设备指定相应的绑定规则，根据接入终端或用户是否符合接入规则来决定允许或拒绝其接入；</w:t>
                  </w:r>
                </w:p>
              </w:tc>
              <w:tc>
                <w:tcPr>
                  <w:tcW w:type="dxa" w:w="447"/>
                  <w:vMerge/>
                  <w:tcBorders>
                    <w:top w:val="single" w:color="000000" w:sz="4"/>
                    <w:left w:val="none" w:color="000000" w:sz="4"/>
                    <w:bottom w:val="single" w:color="000000" w:sz="4"/>
                    <w:right w:val="single" w:color="000000" w:sz="4"/>
                  </w:tcBorders>
                </w:tcPr>
                <w:p/>
              </w:tc>
            </w:tr>
            <w:tr>
              <w:tc>
                <w:tcPr>
                  <w:tcW w:type="dxa" w:w="239"/>
                  <w:vMerge/>
                  <w:tcBorders>
                    <w:top w:val="none" w:color="000000" w:sz="4"/>
                    <w:left w:val="single" w:color="000000" w:sz="4"/>
                    <w:bottom w:val="single" w:color="000000" w:sz="4"/>
                    <w:right w:val="single" w:color="000000" w:sz="4"/>
                  </w:tcBorders>
                </w:tcPr>
                <w:p/>
              </w:tc>
              <w:tc>
                <w:tcPr>
                  <w:tcW w:type="dxa" w:w="208"/>
                  <w:vMerge/>
                  <w:tcBorders>
                    <w:top w:val="none" w:color="000000" w:sz="4"/>
                    <w:left w:val="none" w:color="000000" w:sz="4"/>
                    <w:bottom w:val="single" w:color="000000" w:sz="4"/>
                    <w:right w:val="single" w:color="000000" w:sz="4"/>
                  </w:tcBorders>
                </w:tcPr>
                <w:p/>
              </w:tc>
              <w:tc>
                <w:tcPr>
                  <w:tcW w:type="dxa" w:w="2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混合绑定</w:t>
                  </w:r>
                </w:p>
              </w:tc>
              <w:tc>
                <w:tcPr>
                  <w:tcW w:type="dxa" w:w="1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支持用户身份认证凭据（</w:t>
                  </w:r>
                  <w:r>
                    <w:rPr>
                      <w:rFonts w:ascii="仿宋_GB2312" w:hAnsi="仿宋_GB2312" w:cs="仿宋_GB2312" w:eastAsia="仿宋_GB2312"/>
                      <w:sz w:val="21"/>
                    </w:rPr>
                    <w:t>USB-KEY或AD账号）与计算机MAC地址、接入交换机端口号、接入控制点设备、安全助手生成的主机码和随机码绑定；终端硬件唯一ID、认证用户等进行灵活绑定，并且可支持一对多、一对一、多对一、多对多绑定；</w:t>
                  </w:r>
                  <w:r>
                    <w:rPr>
                      <w:rFonts w:ascii="仿宋_GB2312" w:hAnsi="仿宋_GB2312" w:cs="仿宋_GB2312" w:eastAsia="仿宋_GB2312"/>
                      <w:sz w:val="21"/>
                    </w:rPr>
                    <w:t>（</w:t>
                  </w:r>
                  <w:r>
                    <w:rPr>
                      <w:rFonts w:ascii="仿宋_GB2312" w:hAnsi="仿宋_GB2312" w:cs="仿宋_GB2312" w:eastAsia="仿宋_GB2312"/>
                      <w:sz w:val="21"/>
                      <w:b/>
                    </w:rPr>
                    <w:t>须进行功能演示</w:t>
                  </w:r>
                  <w:r>
                    <w:rPr>
                      <w:rFonts w:ascii="仿宋_GB2312" w:hAnsi="仿宋_GB2312" w:cs="仿宋_GB2312" w:eastAsia="仿宋_GB2312"/>
                      <w:sz w:val="21"/>
                    </w:rPr>
                    <w:t>）</w:t>
                  </w:r>
                </w:p>
              </w:tc>
              <w:tc>
                <w:tcPr>
                  <w:tcW w:type="dxa" w:w="447"/>
                  <w:vMerge/>
                  <w:tcBorders>
                    <w:top w:val="single" w:color="000000" w:sz="4"/>
                    <w:left w:val="none" w:color="000000" w:sz="4"/>
                    <w:bottom w:val="single" w:color="000000" w:sz="4"/>
                    <w:right w:val="single" w:color="000000" w:sz="4"/>
                  </w:tcBorders>
                </w:tcPr>
                <w:p/>
              </w:tc>
            </w:tr>
            <w:tr>
              <w:tc>
                <w:tcPr>
                  <w:tcW w:type="dxa" w:w="239"/>
                  <w:vMerge/>
                  <w:tcBorders>
                    <w:top w:val="none" w:color="000000" w:sz="4"/>
                    <w:left w:val="single" w:color="000000" w:sz="4"/>
                    <w:bottom w:val="single" w:color="000000" w:sz="4"/>
                    <w:right w:val="single" w:color="000000" w:sz="4"/>
                  </w:tcBorders>
                </w:tcPr>
                <w:p/>
              </w:tc>
              <w:tc>
                <w:tcPr>
                  <w:tcW w:type="dxa" w:w="208"/>
                  <w:vMerge/>
                  <w:tcBorders>
                    <w:top w:val="none" w:color="000000" w:sz="4"/>
                    <w:left w:val="none" w:color="000000" w:sz="4"/>
                    <w:bottom w:val="single" w:color="000000" w:sz="4"/>
                    <w:right w:val="single" w:color="000000" w:sz="4"/>
                  </w:tcBorders>
                </w:tcPr>
                <w:p/>
              </w:tc>
              <w:tc>
                <w:tcPr>
                  <w:tcW w:type="dxa" w:w="2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自主解绑</w:t>
                  </w:r>
                </w:p>
              </w:tc>
              <w:tc>
                <w:tcPr>
                  <w:tcW w:type="dxa" w:w="1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支持用户自助解绑安全规则，当用户登录设备数量超过限制时可自行解绑</w:t>
                  </w:r>
                </w:p>
              </w:tc>
              <w:tc>
                <w:tcPr>
                  <w:tcW w:type="dxa" w:w="447"/>
                  <w:vMerge/>
                  <w:tcBorders>
                    <w:top w:val="single" w:color="000000" w:sz="4"/>
                    <w:left w:val="none" w:color="000000" w:sz="4"/>
                    <w:bottom w:val="single" w:color="000000" w:sz="4"/>
                    <w:right w:val="single" w:color="000000" w:sz="4"/>
                  </w:tcBorders>
                </w:tcPr>
                <w:p/>
              </w:tc>
            </w:tr>
            <w:tr>
              <w:tc>
                <w:tcPr>
                  <w:tcW w:type="dxa" w:w="239"/>
                  <w:vMerge/>
                  <w:tcBorders>
                    <w:top w:val="none" w:color="000000" w:sz="4"/>
                    <w:left w:val="single" w:color="000000" w:sz="4"/>
                    <w:bottom w:val="single" w:color="000000" w:sz="4"/>
                    <w:right w:val="single" w:color="000000" w:sz="4"/>
                  </w:tcBorders>
                </w:tcPr>
                <w:p/>
              </w:tc>
              <w:tc>
                <w:tcPr>
                  <w:tcW w:type="dxa" w:w="208"/>
                  <w:vMerge/>
                  <w:tcBorders>
                    <w:top w:val="none" w:color="000000" w:sz="4"/>
                    <w:left w:val="none" w:color="000000" w:sz="4"/>
                    <w:bottom w:val="single" w:color="000000" w:sz="4"/>
                    <w:right w:val="single" w:color="000000" w:sz="4"/>
                  </w:tcBorders>
                </w:tcPr>
                <w:p/>
              </w:tc>
              <w:tc>
                <w:tcPr>
                  <w:tcW w:type="dxa" w:w="2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一键逃生</w:t>
                  </w:r>
                </w:p>
              </w:tc>
              <w:tc>
                <w:tcPr>
                  <w:tcW w:type="dxa" w:w="1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w:t>
                  </w:r>
                  <w:r>
                    <w:rPr>
                      <w:rFonts w:ascii="仿宋_GB2312" w:hAnsi="仿宋_GB2312" w:cs="仿宋_GB2312" w:eastAsia="仿宋_GB2312"/>
                      <w:sz w:val="21"/>
                    </w:rPr>
                    <w:t>支持手动快速逃生方式，可在系统后台一键切换至准入放行模式；</w:t>
                  </w:r>
                </w:p>
              </w:tc>
              <w:tc>
                <w:tcPr>
                  <w:tcW w:type="dxa" w:w="447"/>
                  <w:vMerge/>
                  <w:tcBorders>
                    <w:top w:val="single" w:color="000000" w:sz="4"/>
                    <w:left w:val="none" w:color="000000" w:sz="4"/>
                    <w:bottom w:val="single" w:color="000000" w:sz="4"/>
                    <w:right w:val="single" w:color="000000" w:sz="4"/>
                  </w:tcBorders>
                </w:tcPr>
                <w:p/>
              </w:tc>
            </w:tr>
            <w:tr>
              <w:tc>
                <w:tcPr>
                  <w:tcW w:type="dxa" w:w="239"/>
                  <w:vMerge/>
                  <w:tcBorders>
                    <w:top w:val="none" w:color="000000" w:sz="4"/>
                    <w:left w:val="single" w:color="000000" w:sz="4"/>
                    <w:bottom w:val="single" w:color="000000" w:sz="4"/>
                    <w:right w:val="single" w:color="000000" w:sz="4"/>
                  </w:tcBorders>
                </w:tcPr>
                <w:p/>
              </w:tc>
              <w:tc>
                <w:tcPr>
                  <w:tcW w:type="dxa" w:w="208"/>
                  <w:vMerge/>
                  <w:tcBorders>
                    <w:top w:val="none" w:color="000000" w:sz="4"/>
                    <w:left w:val="none" w:color="000000" w:sz="4"/>
                    <w:bottom w:val="single" w:color="000000" w:sz="4"/>
                    <w:right w:val="single" w:color="000000" w:sz="4"/>
                  </w:tcBorders>
                </w:tcPr>
                <w:p/>
              </w:tc>
              <w:tc>
                <w:tcPr>
                  <w:tcW w:type="dxa" w:w="2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智能逃生</w:t>
                  </w:r>
                </w:p>
              </w:tc>
              <w:tc>
                <w:tcPr>
                  <w:tcW w:type="dxa" w:w="1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支持智能应急逃生方式，系统检测到运行中出现的异常和故障需要能够自动应急：</w:t>
                  </w:r>
                  <w:r>
                    <w:rPr>
                      <w:rFonts w:ascii="仿宋_GB2312" w:hAnsi="仿宋_GB2312" w:cs="仿宋_GB2312" w:eastAsia="仿宋_GB2312"/>
                      <w:sz w:val="21"/>
                    </w:rPr>
                    <w:t>如</w:t>
                  </w:r>
                  <w:r>
                    <w:rPr>
                      <w:rFonts w:ascii="仿宋_GB2312" w:hAnsi="仿宋_GB2312" w:cs="仿宋_GB2312" w:eastAsia="仿宋_GB2312"/>
                      <w:sz w:val="21"/>
                    </w:rPr>
                    <w:t>3分钟内连续出现256台终端准入失败自动临时放行且阈值可自定义，确保企业网络的可用性</w:t>
                  </w:r>
                  <w:r>
                    <w:rPr>
                      <w:rFonts w:ascii="仿宋_GB2312" w:hAnsi="仿宋_GB2312" w:cs="仿宋_GB2312" w:eastAsia="仿宋_GB2312"/>
                      <w:sz w:val="21"/>
                    </w:rPr>
                    <w:t>（</w:t>
                  </w:r>
                  <w:r>
                    <w:rPr>
                      <w:rFonts w:ascii="仿宋_GB2312" w:hAnsi="仿宋_GB2312" w:cs="仿宋_GB2312" w:eastAsia="仿宋_GB2312"/>
                      <w:sz w:val="21"/>
                    </w:rPr>
                    <w:t>数据可自定义</w:t>
                  </w:r>
                  <w:r>
                    <w:rPr>
                      <w:rFonts w:ascii="仿宋_GB2312" w:hAnsi="仿宋_GB2312" w:cs="仿宋_GB2312" w:eastAsia="仿宋_GB2312"/>
                      <w:sz w:val="21"/>
                    </w:rPr>
                    <w:t>）</w:t>
                  </w:r>
                  <w:r>
                    <w:rPr>
                      <w:rFonts w:ascii="仿宋_GB2312" w:hAnsi="仿宋_GB2312" w:cs="仿宋_GB2312" w:eastAsia="仿宋_GB2312"/>
                      <w:sz w:val="21"/>
                    </w:rPr>
                    <w:t>；</w:t>
                  </w:r>
                </w:p>
              </w:tc>
              <w:tc>
                <w:tcPr>
                  <w:tcW w:type="dxa" w:w="447"/>
                  <w:vMerge/>
                  <w:tcBorders>
                    <w:top w:val="single" w:color="000000" w:sz="4"/>
                    <w:left w:val="none" w:color="000000" w:sz="4"/>
                    <w:bottom w:val="single" w:color="000000" w:sz="4"/>
                    <w:right w:val="single" w:color="000000" w:sz="4"/>
                  </w:tcBorders>
                </w:tcPr>
                <w:p/>
              </w:tc>
            </w:tr>
            <w:tr>
              <w:tc>
                <w:tcPr>
                  <w:tcW w:type="dxa" w:w="23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终端安全管理模块</w:t>
                  </w:r>
                </w:p>
              </w:tc>
              <w:tc>
                <w:tcPr>
                  <w:tcW w:type="dxa" w:w="20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设备概要信息</w:t>
                  </w:r>
                </w:p>
              </w:tc>
              <w:tc>
                <w:tcPr>
                  <w:tcW w:type="dxa" w:w="2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设备基本属性</w:t>
                  </w:r>
                </w:p>
              </w:tc>
              <w:tc>
                <w:tcPr>
                  <w:tcW w:type="dxa" w:w="1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支持以设备为维度，展示设备名称、</w:t>
                  </w:r>
                  <w:r>
                    <w:rPr>
                      <w:rFonts w:ascii="仿宋_GB2312" w:hAnsi="仿宋_GB2312" w:cs="仿宋_GB2312" w:eastAsia="仿宋_GB2312"/>
                      <w:sz w:val="21"/>
                    </w:rPr>
                    <w:t>IP、MAC地址、所属用户、所属部门、连接网络设备、连接网络设备端口、是否安装客户端、设备是否在线，并可导出系统自检报告；</w:t>
                  </w:r>
                </w:p>
              </w:tc>
              <w:tc>
                <w:tcPr>
                  <w:tcW w:type="dxa" w:w="44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同时支持</w:t>
                  </w:r>
                  <w:r>
                    <w:rPr>
                      <w:rFonts w:ascii="仿宋_GB2312" w:hAnsi="仿宋_GB2312" w:cs="仿宋_GB2312" w:eastAsia="仿宋_GB2312"/>
                      <w:sz w:val="21"/>
                    </w:rPr>
                    <w:t>Windows、Linux和常用国产化操作系统（麒麟、统信等）</w:t>
                  </w:r>
                  <w:r>
                    <w:rPr>
                      <w:rFonts w:ascii="仿宋_GB2312" w:hAnsi="仿宋_GB2312" w:cs="仿宋_GB2312" w:eastAsia="仿宋_GB2312"/>
                      <w:sz w:val="21"/>
                    </w:rPr>
                    <w:t>桌面</w:t>
                  </w:r>
                  <w:r>
                    <w:rPr>
                      <w:rFonts w:ascii="仿宋_GB2312" w:hAnsi="仿宋_GB2312" w:cs="仿宋_GB2312" w:eastAsia="仿宋_GB2312"/>
                      <w:sz w:val="21"/>
                    </w:rPr>
                    <w:t>客户端许可</w:t>
                  </w:r>
                  <w:r>
                    <w:rPr>
                      <w:rFonts w:ascii="仿宋_GB2312" w:hAnsi="仿宋_GB2312" w:cs="仿宋_GB2312" w:eastAsia="仿宋_GB2312"/>
                      <w:sz w:val="21"/>
                    </w:rPr>
                    <w:t>≥1</w:t>
                  </w:r>
                  <w:r>
                    <w:rPr>
                      <w:rFonts w:ascii="仿宋_GB2312" w:hAnsi="仿宋_GB2312" w:cs="仿宋_GB2312" w:eastAsia="仿宋_GB2312"/>
                      <w:sz w:val="21"/>
                    </w:rPr>
                    <w:t>0</w:t>
                  </w:r>
                  <w:r>
                    <w:rPr>
                      <w:rFonts w:ascii="仿宋_GB2312" w:hAnsi="仿宋_GB2312" w:cs="仿宋_GB2312" w:eastAsia="仿宋_GB2312"/>
                      <w:sz w:val="21"/>
                    </w:rPr>
                    <w:t>00点</w:t>
                  </w:r>
                </w:p>
              </w:tc>
            </w:tr>
            <w:tr>
              <w:tc>
                <w:tcPr>
                  <w:tcW w:type="dxa" w:w="239"/>
                  <w:vMerge/>
                  <w:tcBorders>
                    <w:top w:val="none" w:color="000000" w:sz="4"/>
                    <w:left w:val="single" w:color="000000" w:sz="4"/>
                    <w:bottom w:val="single" w:color="000000" w:sz="4"/>
                    <w:right w:val="single" w:color="000000" w:sz="4"/>
                  </w:tcBorders>
                </w:tcPr>
                <w:p/>
              </w:tc>
              <w:tc>
                <w:tcPr>
                  <w:tcW w:type="dxa" w:w="208"/>
                  <w:vMerge/>
                  <w:tcBorders>
                    <w:top w:val="none" w:color="000000" w:sz="4"/>
                    <w:left w:val="none" w:color="000000" w:sz="4"/>
                    <w:bottom w:val="single" w:color="000000" w:sz="4"/>
                    <w:right w:val="single" w:color="000000" w:sz="4"/>
                  </w:tcBorders>
                </w:tcPr>
                <w:p/>
              </w:tc>
              <w:tc>
                <w:tcPr>
                  <w:tcW w:type="dxa" w:w="29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软硬件资产管理</w:t>
                  </w:r>
                </w:p>
              </w:tc>
              <w:tc>
                <w:tcPr>
                  <w:tcW w:type="dxa" w:w="1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支持自动采集终端设备信息，包括：硬件信息、操作系统信息、软件信息、用户信息、已应用的策略信息、历史</w:t>
                  </w:r>
                  <w:r>
                    <w:rPr>
                      <w:rFonts w:ascii="仿宋_GB2312" w:hAnsi="仿宋_GB2312" w:cs="仿宋_GB2312" w:eastAsia="仿宋_GB2312"/>
                      <w:sz w:val="21"/>
                    </w:rPr>
                    <w:t>IP地址信息等。</w:t>
                  </w:r>
                </w:p>
              </w:tc>
              <w:tc>
                <w:tcPr>
                  <w:tcW w:type="dxa" w:w="447"/>
                  <w:vMerge/>
                  <w:tcBorders>
                    <w:top w:val="none" w:color="000000" w:sz="4"/>
                    <w:left w:val="none" w:color="000000" w:sz="4"/>
                    <w:bottom w:val="single" w:color="000000" w:sz="4"/>
                    <w:right w:val="single" w:color="000000" w:sz="4"/>
                  </w:tcBorders>
                </w:tcPr>
                <w:p/>
              </w:tc>
            </w:tr>
            <w:tr>
              <w:tc>
                <w:tcPr>
                  <w:tcW w:type="dxa" w:w="239"/>
                  <w:vMerge/>
                  <w:tcBorders>
                    <w:top w:val="none" w:color="000000" w:sz="4"/>
                    <w:left w:val="single" w:color="000000" w:sz="4"/>
                    <w:bottom w:val="single" w:color="000000" w:sz="4"/>
                    <w:right w:val="single" w:color="000000" w:sz="4"/>
                  </w:tcBorders>
                </w:tcPr>
                <w:p/>
              </w:tc>
              <w:tc>
                <w:tcPr>
                  <w:tcW w:type="dxa" w:w="208"/>
                  <w:vMerge/>
                  <w:tcBorders>
                    <w:top w:val="none" w:color="000000" w:sz="4"/>
                    <w:left w:val="none" w:color="000000" w:sz="4"/>
                    <w:bottom w:val="single" w:color="000000" w:sz="4"/>
                    <w:right w:val="single" w:color="000000" w:sz="4"/>
                  </w:tcBorders>
                </w:tcPr>
                <w:p/>
              </w:tc>
              <w:tc>
                <w:tcPr>
                  <w:tcW w:type="dxa" w:w="294"/>
                  <w:vMerge/>
                  <w:tcBorders>
                    <w:top w:val="none" w:color="000000" w:sz="4"/>
                    <w:left w:val="none" w:color="000000" w:sz="4"/>
                    <w:bottom w:val="single" w:color="000000" w:sz="4"/>
                    <w:right w:val="single" w:color="000000" w:sz="4"/>
                  </w:tcBorders>
                </w:tcPr>
                <w:p/>
              </w:tc>
              <w:tc>
                <w:tcPr>
                  <w:tcW w:type="dxa" w:w="1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支持显示完整的终端信息，包含但不限于：计算机名、用户名、操作系统版本及主机进程信息、主机端口信息、主机服务信息。</w:t>
                  </w:r>
                  <w:r>
                    <w:br/>
                  </w:r>
                  <w:r>
                    <w:rPr>
                      <w:rFonts w:ascii="仿宋_GB2312" w:hAnsi="仿宋_GB2312" w:cs="仿宋_GB2312" w:eastAsia="仿宋_GB2312"/>
                      <w:sz w:val="21"/>
                    </w:rPr>
                    <w:t>主机进程信息：进程名、进程</w:t>
                  </w:r>
                  <w:r>
                    <w:rPr>
                      <w:rFonts w:ascii="仿宋_GB2312" w:hAnsi="仿宋_GB2312" w:cs="仿宋_GB2312" w:eastAsia="仿宋_GB2312"/>
                      <w:sz w:val="21"/>
                    </w:rPr>
                    <w:t>PID、内存占用、虚拟内存占用、IO读速度、IO读取次数、IO写入速度、IO写入次数、线程数、句柄数、CPU时间、基本优先级、进程路径、进程参数、进程文件厂商、进程所属用户、进程文件创建时间和修改时间 ； 主机端口信息：网络协议、本地IP地址、本地端口、远程IP地址、远程端口、连接状态、进程PID、进程命令行；</w:t>
                  </w:r>
                  <w:r>
                    <w:br/>
                  </w:r>
                  <w:r>
                    <w:rPr>
                      <w:rFonts w:ascii="仿宋_GB2312" w:hAnsi="仿宋_GB2312" w:cs="仿宋_GB2312" w:eastAsia="仿宋_GB2312"/>
                      <w:sz w:val="21"/>
                    </w:rPr>
                    <w:t>主机服务信息：服务名、显示名称、服务描述信息、启动类型、服务状态、可执行文件路径、文件厂商、文件创建时间、文件修改时间</w:t>
                  </w:r>
                  <w:r>
                    <w:rPr>
                      <w:rFonts w:ascii="仿宋_GB2312" w:hAnsi="仿宋_GB2312" w:cs="仿宋_GB2312" w:eastAsia="仿宋_GB2312"/>
                      <w:sz w:val="21"/>
                    </w:rPr>
                    <w:t xml:space="preserve"> ；</w:t>
                  </w:r>
                </w:p>
              </w:tc>
              <w:tc>
                <w:tcPr>
                  <w:tcW w:type="dxa" w:w="447"/>
                  <w:vMerge/>
                  <w:tcBorders>
                    <w:top w:val="none" w:color="000000" w:sz="4"/>
                    <w:left w:val="none" w:color="000000" w:sz="4"/>
                    <w:bottom w:val="single" w:color="000000" w:sz="4"/>
                    <w:right w:val="single" w:color="000000" w:sz="4"/>
                  </w:tcBorders>
                </w:tcPr>
                <w:p/>
              </w:tc>
            </w:tr>
            <w:tr>
              <w:tc>
                <w:tcPr>
                  <w:tcW w:type="dxa" w:w="239"/>
                  <w:vMerge/>
                  <w:tcBorders>
                    <w:top w:val="none" w:color="000000" w:sz="4"/>
                    <w:left w:val="single" w:color="000000" w:sz="4"/>
                    <w:bottom w:val="single" w:color="000000" w:sz="4"/>
                    <w:right w:val="single" w:color="000000" w:sz="4"/>
                  </w:tcBorders>
                </w:tcPr>
                <w:p/>
              </w:tc>
              <w:tc>
                <w:tcPr>
                  <w:tcW w:type="dxa" w:w="208"/>
                  <w:vMerge/>
                  <w:tcBorders>
                    <w:top w:val="none" w:color="000000" w:sz="4"/>
                    <w:left w:val="none" w:color="000000" w:sz="4"/>
                    <w:bottom w:val="single" w:color="000000" w:sz="4"/>
                    <w:right w:val="single" w:color="000000" w:sz="4"/>
                  </w:tcBorders>
                </w:tcPr>
                <w:p/>
              </w:tc>
              <w:tc>
                <w:tcPr>
                  <w:tcW w:type="dxa" w:w="294"/>
                  <w:vMerge/>
                  <w:tcBorders>
                    <w:top w:val="none" w:color="000000" w:sz="4"/>
                    <w:left w:val="none" w:color="000000" w:sz="4"/>
                    <w:bottom w:val="single" w:color="000000" w:sz="4"/>
                    <w:right w:val="single" w:color="000000" w:sz="4"/>
                  </w:tcBorders>
                </w:tcPr>
                <w:p/>
              </w:tc>
              <w:tc>
                <w:tcPr>
                  <w:tcW w:type="dxa" w:w="1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支持对设备的</w:t>
                  </w:r>
                  <w:r>
                    <w:rPr>
                      <w:rFonts w:ascii="仿宋_GB2312" w:hAnsi="仿宋_GB2312" w:cs="仿宋_GB2312" w:eastAsia="仿宋_GB2312"/>
                      <w:sz w:val="21"/>
                    </w:rPr>
                    <w:t>CPU、内存条、显卡、光驱、硬盘、主板、网卡等进行监控，变更后产生告警；支持对设备所有的软件变化进行监控，变更后产生告警；</w:t>
                  </w:r>
                </w:p>
              </w:tc>
              <w:tc>
                <w:tcPr>
                  <w:tcW w:type="dxa" w:w="447"/>
                  <w:vMerge/>
                  <w:tcBorders>
                    <w:top w:val="none" w:color="000000" w:sz="4"/>
                    <w:left w:val="none" w:color="000000" w:sz="4"/>
                    <w:bottom w:val="single" w:color="000000" w:sz="4"/>
                    <w:right w:val="single" w:color="000000" w:sz="4"/>
                  </w:tcBorders>
                </w:tcPr>
                <w:p/>
              </w:tc>
            </w:tr>
            <w:tr>
              <w:tc>
                <w:tcPr>
                  <w:tcW w:type="dxa" w:w="239"/>
                  <w:vMerge/>
                  <w:tcBorders>
                    <w:top w:val="none" w:color="000000" w:sz="4"/>
                    <w:left w:val="single" w:color="000000" w:sz="4"/>
                    <w:bottom w:val="single" w:color="000000" w:sz="4"/>
                    <w:right w:val="single" w:color="000000" w:sz="4"/>
                  </w:tcBorders>
                </w:tcPr>
                <w:p/>
              </w:tc>
              <w:tc>
                <w:tcPr>
                  <w:tcW w:type="dxa" w:w="208"/>
                  <w:vMerge/>
                  <w:tcBorders>
                    <w:top w:val="none" w:color="000000" w:sz="4"/>
                    <w:left w:val="none" w:color="000000" w:sz="4"/>
                    <w:bottom w:val="single" w:color="000000" w:sz="4"/>
                    <w:right w:val="single" w:color="000000" w:sz="4"/>
                  </w:tcBorders>
                </w:tcPr>
                <w:p/>
              </w:tc>
              <w:tc>
                <w:tcPr>
                  <w:tcW w:type="dxa" w:w="294"/>
                  <w:vMerge/>
                  <w:tcBorders>
                    <w:top w:val="none" w:color="000000" w:sz="4"/>
                    <w:left w:val="none" w:color="000000" w:sz="4"/>
                    <w:bottom w:val="single" w:color="000000" w:sz="4"/>
                    <w:right w:val="single" w:color="000000" w:sz="4"/>
                  </w:tcBorders>
                </w:tcPr>
                <w:p/>
              </w:tc>
              <w:tc>
                <w:tcPr>
                  <w:tcW w:type="dxa" w:w="1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支持自定义工作时间段，设备在非工作时间段内，开机运行时，控制台会及时发现，并产生告警；</w:t>
                  </w:r>
                </w:p>
              </w:tc>
              <w:tc>
                <w:tcPr>
                  <w:tcW w:type="dxa" w:w="447"/>
                  <w:vMerge/>
                  <w:tcBorders>
                    <w:top w:val="none" w:color="000000" w:sz="4"/>
                    <w:left w:val="none" w:color="000000" w:sz="4"/>
                    <w:bottom w:val="single" w:color="000000" w:sz="4"/>
                    <w:right w:val="single" w:color="000000" w:sz="4"/>
                  </w:tcBorders>
                </w:tcPr>
                <w:p/>
              </w:tc>
            </w:tr>
            <w:tr>
              <w:tc>
                <w:tcPr>
                  <w:tcW w:type="dxa" w:w="239"/>
                  <w:vMerge/>
                  <w:tcBorders>
                    <w:top w:val="none" w:color="000000" w:sz="4"/>
                    <w:left w:val="single" w:color="000000" w:sz="4"/>
                    <w:bottom w:val="single" w:color="000000" w:sz="4"/>
                    <w:right w:val="single" w:color="000000" w:sz="4"/>
                  </w:tcBorders>
                </w:tcPr>
                <w:p/>
              </w:tc>
              <w:tc>
                <w:tcPr>
                  <w:tcW w:type="dxa" w:w="208"/>
                  <w:vMerge/>
                  <w:tcBorders>
                    <w:top w:val="none" w:color="000000" w:sz="4"/>
                    <w:left w:val="none" w:color="000000" w:sz="4"/>
                    <w:bottom w:val="single" w:color="000000" w:sz="4"/>
                    <w:right w:val="single" w:color="000000" w:sz="4"/>
                  </w:tcBorders>
                </w:tcPr>
                <w:p/>
              </w:tc>
              <w:tc>
                <w:tcPr>
                  <w:tcW w:type="dxa" w:w="2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自定义设备组</w:t>
                  </w:r>
                </w:p>
              </w:tc>
              <w:tc>
                <w:tcPr>
                  <w:tcW w:type="dxa" w:w="1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支持自定义设备分组，根据</w:t>
                  </w:r>
                  <w:r>
                    <w:rPr>
                      <w:rFonts w:ascii="仿宋_GB2312" w:hAnsi="仿宋_GB2312" w:cs="仿宋_GB2312" w:eastAsia="仿宋_GB2312"/>
                      <w:sz w:val="21"/>
                    </w:rPr>
                    <w:t>IP地址范围、网段、部门、设备名称通配符、CPU频率大小范围、磁盘容量大小范围、内存容量大小范围、MAC地址范围、安软的软件、操作系统、操作系统语言、CPU型号、设备类型、设备状态、设备接入状态、代理类型、客户端状态、客户端版本等条件自动将设备划分设备组，并支持例外；</w:t>
                  </w:r>
                </w:p>
              </w:tc>
              <w:tc>
                <w:tcPr>
                  <w:tcW w:type="dxa" w:w="447"/>
                  <w:vMerge/>
                  <w:tcBorders>
                    <w:top w:val="none" w:color="000000" w:sz="4"/>
                    <w:left w:val="none" w:color="000000" w:sz="4"/>
                    <w:bottom w:val="single" w:color="000000" w:sz="4"/>
                    <w:right w:val="single" w:color="000000" w:sz="4"/>
                  </w:tcBorders>
                </w:tcPr>
                <w:p/>
              </w:tc>
            </w:tr>
            <w:tr>
              <w:tc>
                <w:tcPr>
                  <w:tcW w:type="dxa" w:w="239"/>
                  <w:vMerge/>
                  <w:tcBorders>
                    <w:top w:val="none" w:color="000000" w:sz="4"/>
                    <w:left w:val="single" w:color="000000" w:sz="4"/>
                    <w:bottom w:val="single" w:color="000000" w:sz="4"/>
                    <w:right w:val="single" w:color="000000" w:sz="4"/>
                  </w:tcBorders>
                </w:tcPr>
                <w:p/>
              </w:tc>
              <w:tc>
                <w:tcPr>
                  <w:tcW w:type="dxa" w:w="208"/>
                  <w:vMerge/>
                  <w:tcBorders>
                    <w:top w:val="none" w:color="000000" w:sz="4"/>
                    <w:left w:val="none" w:color="000000" w:sz="4"/>
                    <w:bottom w:val="single" w:color="000000" w:sz="4"/>
                    <w:right w:val="single" w:color="000000" w:sz="4"/>
                  </w:tcBorders>
                </w:tcPr>
                <w:p/>
              </w:tc>
              <w:tc>
                <w:tcPr>
                  <w:tcW w:type="dxa" w:w="2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设备查询</w:t>
                  </w:r>
                </w:p>
              </w:tc>
              <w:tc>
                <w:tcPr>
                  <w:tcW w:type="dxa" w:w="1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支持检索通过</w:t>
                  </w:r>
                  <w:r>
                    <w:rPr>
                      <w:rFonts w:ascii="仿宋_GB2312" w:hAnsi="仿宋_GB2312" w:cs="仿宋_GB2312" w:eastAsia="仿宋_GB2312"/>
                      <w:sz w:val="21"/>
                    </w:rPr>
                    <w:t>NAT接入的没安装客户端的设备，并设置任意组合进行查询其IP地址、MAC地址、设备名称、设备类型、设备位置、连接交换机、设备状态、代理状态、客户端运行状态操作系统、设备描述、曾用NAT设备IP地址、NAT接入时间、设备最近启动时间、设备最近离线时间、设备发现时间等；</w:t>
                  </w:r>
                </w:p>
              </w:tc>
              <w:tc>
                <w:tcPr>
                  <w:tcW w:type="dxa" w:w="447"/>
                  <w:vMerge/>
                  <w:tcBorders>
                    <w:top w:val="none" w:color="000000" w:sz="4"/>
                    <w:left w:val="none" w:color="000000" w:sz="4"/>
                    <w:bottom w:val="single" w:color="000000" w:sz="4"/>
                    <w:right w:val="single" w:color="000000" w:sz="4"/>
                  </w:tcBorders>
                </w:tcPr>
                <w:p/>
              </w:tc>
            </w:tr>
            <w:tr>
              <w:tc>
                <w:tcPr>
                  <w:tcW w:type="dxa" w:w="239"/>
                  <w:vMerge/>
                  <w:tcBorders>
                    <w:top w:val="none" w:color="000000" w:sz="4"/>
                    <w:left w:val="single" w:color="000000" w:sz="4"/>
                    <w:bottom w:val="single" w:color="000000" w:sz="4"/>
                    <w:right w:val="single" w:color="000000" w:sz="4"/>
                  </w:tcBorders>
                </w:tcPr>
                <w:p/>
              </w:tc>
              <w:tc>
                <w:tcPr>
                  <w:tcW w:type="dxa" w:w="20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软件安装</w:t>
                  </w:r>
                </w:p>
              </w:tc>
              <w:tc>
                <w:tcPr>
                  <w:tcW w:type="dxa" w:w="2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基础要求</w:t>
                  </w:r>
                </w:p>
              </w:tc>
              <w:tc>
                <w:tcPr>
                  <w:tcW w:type="dxa" w:w="1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w:t>
                  </w:r>
                  <w:r>
                    <w:rPr>
                      <w:rFonts w:ascii="仿宋_GB2312" w:hAnsi="仿宋_GB2312" w:cs="仿宋_GB2312" w:eastAsia="仿宋_GB2312"/>
                      <w:sz w:val="21"/>
                    </w:rPr>
                    <w:t>分发环境：</w:t>
                  </w:r>
                  <w:r>
                    <w:rPr>
                      <w:rFonts w:ascii="仿宋_GB2312" w:hAnsi="仿宋_GB2312" w:cs="仿宋_GB2312" w:eastAsia="仿宋_GB2312"/>
                      <w:sz w:val="21"/>
                    </w:rPr>
                    <w:t>Windows、Linux、macOS、常用国产化操作系统（麒麟、统信等）</w:t>
                  </w:r>
                </w:p>
              </w:tc>
              <w:tc>
                <w:tcPr>
                  <w:tcW w:type="dxa" w:w="447"/>
                  <w:vMerge/>
                  <w:tcBorders>
                    <w:top w:val="none" w:color="000000" w:sz="4"/>
                    <w:left w:val="none" w:color="000000" w:sz="4"/>
                    <w:bottom w:val="single" w:color="000000" w:sz="4"/>
                    <w:right w:val="single" w:color="000000" w:sz="4"/>
                  </w:tcBorders>
                </w:tcPr>
                <w:p/>
              </w:tc>
            </w:tr>
            <w:tr>
              <w:tc>
                <w:tcPr>
                  <w:tcW w:type="dxa" w:w="239"/>
                  <w:vMerge/>
                  <w:tcBorders>
                    <w:top w:val="none" w:color="000000" w:sz="4"/>
                    <w:left w:val="single" w:color="000000" w:sz="4"/>
                    <w:bottom w:val="single" w:color="000000" w:sz="4"/>
                    <w:right w:val="single" w:color="000000" w:sz="4"/>
                  </w:tcBorders>
                </w:tcPr>
                <w:p/>
              </w:tc>
              <w:tc>
                <w:tcPr>
                  <w:tcW w:type="dxa" w:w="208"/>
                  <w:vMerge/>
                  <w:tcBorders>
                    <w:top w:val="none" w:color="000000" w:sz="4"/>
                    <w:left w:val="none" w:color="000000" w:sz="4"/>
                    <w:bottom w:val="single" w:color="000000" w:sz="4"/>
                    <w:right w:val="single" w:color="000000" w:sz="4"/>
                  </w:tcBorders>
                </w:tcPr>
                <w:p/>
              </w:tc>
              <w:tc>
                <w:tcPr>
                  <w:tcW w:type="dxa" w:w="2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中继分发</w:t>
                  </w:r>
                </w:p>
              </w:tc>
              <w:tc>
                <w:tcPr>
                  <w:tcW w:type="dxa" w:w="1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支持节点缓存和中继功能，实现：</w:t>
                  </w:r>
                  <w:r>
                    <w:br/>
                  </w:r>
                  <w:r>
                    <w:rPr>
                      <w:rFonts w:ascii="仿宋_GB2312" w:hAnsi="仿宋_GB2312" w:cs="仿宋_GB2312" w:eastAsia="仿宋_GB2312"/>
                      <w:sz w:val="21"/>
                    </w:rPr>
                    <w:t>智能中继选择机制，智能中继流量控制，智能中继下载指定时间段限制，手工中继、智能中继同时启用；部分区域手工指定中继，部分区域采用智能中继；</w:t>
                  </w:r>
                </w:p>
              </w:tc>
              <w:tc>
                <w:tcPr>
                  <w:tcW w:type="dxa" w:w="447"/>
                  <w:vMerge/>
                  <w:tcBorders>
                    <w:top w:val="none" w:color="000000" w:sz="4"/>
                    <w:left w:val="none" w:color="000000" w:sz="4"/>
                    <w:bottom w:val="single" w:color="000000" w:sz="4"/>
                    <w:right w:val="single" w:color="000000" w:sz="4"/>
                  </w:tcBorders>
                </w:tcPr>
                <w:p/>
              </w:tc>
            </w:tr>
            <w:tr>
              <w:tc>
                <w:tcPr>
                  <w:tcW w:type="dxa" w:w="239"/>
                  <w:vMerge/>
                  <w:tcBorders>
                    <w:top w:val="none" w:color="000000" w:sz="4"/>
                    <w:left w:val="single" w:color="000000" w:sz="4"/>
                    <w:bottom w:val="single" w:color="000000" w:sz="4"/>
                    <w:right w:val="single" w:color="000000" w:sz="4"/>
                  </w:tcBorders>
                </w:tcPr>
                <w:p/>
              </w:tc>
              <w:tc>
                <w:tcPr>
                  <w:tcW w:type="dxa" w:w="208"/>
                  <w:vMerge/>
                  <w:tcBorders>
                    <w:top w:val="none" w:color="000000" w:sz="4"/>
                    <w:left w:val="none" w:color="000000" w:sz="4"/>
                    <w:bottom w:val="single" w:color="000000" w:sz="4"/>
                    <w:right w:val="single" w:color="000000" w:sz="4"/>
                  </w:tcBorders>
                </w:tcPr>
                <w:p/>
              </w:tc>
              <w:tc>
                <w:tcPr>
                  <w:tcW w:type="dxa" w:w="2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软件下载</w:t>
                  </w:r>
                </w:p>
              </w:tc>
              <w:tc>
                <w:tcPr>
                  <w:tcW w:type="dxa" w:w="1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支持自定义下载时间范围，可避开网络高峰期；支持下载中继服务器，以节省带宽；支持断点续传；</w:t>
                  </w:r>
                </w:p>
              </w:tc>
              <w:tc>
                <w:tcPr>
                  <w:tcW w:type="dxa" w:w="447"/>
                  <w:vMerge/>
                  <w:tcBorders>
                    <w:top w:val="none" w:color="000000" w:sz="4"/>
                    <w:left w:val="none" w:color="000000" w:sz="4"/>
                    <w:bottom w:val="single" w:color="000000" w:sz="4"/>
                    <w:right w:val="single" w:color="000000" w:sz="4"/>
                  </w:tcBorders>
                </w:tcPr>
                <w:p/>
              </w:tc>
            </w:tr>
            <w:tr>
              <w:tc>
                <w:tcPr>
                  <w:tcW w:type="dxa" w:w="239"/>
                  <w:vMerge/>
                  <w:tcBorders>
                    <w:top w:val="none" w:color="000000" w:sz="4"/>
                    <w:left w:val="single" w:color="000000" w:sz="4"/>
                    <w:bottom w:val="single" w:color="000000" w:sz="4"/>
                    <w:right w:val="single" w:color="000000" w:sz="4"/>
                  </w:tcBorders>
                </w:tcPr>
                <w:p/>
              </w:tc>
              <w:tc>
                <w:tcPr>
                  <w:tcW w:type="dxa" w:w="208"/>
                  <w:vMerge/>
                  <w:tcBorders>
                    <w:top w:val="none" w:color="000000" w:sz="4"/>
                    <w:left w:val="none" w:color="000000" w:sz="4"/>
                    <w:bottom w:val="single" w:color="000000" w:sz="4"/>
                    <w:right w:val="single" w:color="000000" w:sz="4"/>
                  </w:tcBorders>
                </w:tcPr>
                <w:p/>
              </w:tc>
              <w:tc>
                <w:tcPr>
                  <w:tcW w:type="dxa" w:w="29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软件安装</w:t>
                  </w:r>
                </w:p>
              </w:tc>
              <w:tc>
                <w:tcPr>
                  <w:tcW w:type="dxa" w:w="1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支持多种安装方式：自定义安装时间范围，避免软件影响用户正常使用；静默安装和正常交互安装；单次任务支持自定义多条安装命令；</w:t>
                  </w:r>
                </w:p>
              </w:tc>
              <w:tc>
                <w:tcPr>
                  <w:tcW w:type="dxa" w:w="447"/>
                  <w:vMerge/>
                  <w:tcBorders>
                    <w:top w:val="none" w:color="000000" w:sz="4"/>
                    <w:left w:val="none" w:color="000000" w:sz="4"/>
                    <w:bottom w:val="single" w:color="000000" w:sz="4"/>
                    <w:right w:val="single" w:color="000000" w:sz="4"/>
                  </w:tcBorders>
                </w:tcPr>
                <w:p/>
              </w:tc>
            </w:tr>
            <w:tr>
              <w:tc>
                <w:tcPr>
                  <w:tcW w:type="dxa" w:w="239"/>
                  <w:vMerge/>
                  <w:tcBorders>
                    <w:top w:val="none" w:color="000000" w:sz="4"/>
                    <w:left w:val="single" w:color="000000" w:sz="4"/>
                    <w:bottom w:val="single" w:color="000000" w:sz="4"/>
                    <w:right w:val="single" w:color="000000" w:sz="4"/>
                  </w:tcBorders>
                </w:tcPr>
                <w:p/>
              </w:tc>
              <w:tc>
                <w:tcPr>
                  <w:tcW w:type="dxa" w:w="208"/>
                  <w:vMerge/>
                  <w:tcBorders>
                    <w:top w:val="none" w:color="000000" w:sz="4"/>
                    <w:left w:val="none" w:color="000000" w:sz="4"/>
                    <w:bottom w:val="single" w:color="000000" w:sz="4"/>
                    <w:right w:val="single" w:color="000000" w:sz="4"/>
                  </w:tcBorders>
                </w:tcPr>
                <w:p/>
              </w:tc>
              <w:tc>
                <w:tcPr>
                  <w:tcW w:type="dxa" w:w="294"/>
                  <w:vMerge/>
                  <w:tcBorders>
                    <w:top w:val="none" w:color="000000" w:sz="4"/>
                    <w:left w:val="none" w:color="000000" w:sz="4"/>
                    <w:bottom w:val="single" w:color="000000" w:sz="4"/>
                    <w:right w:val="single" w:color="000000" w:sz="4"/>
                  </w:tcBorders>
                </w:tcPr>
                <w:p/>
              </w:tc>
              <w:tc>
                <w:tcPr>
                  <w:tcW w:type="dxa" w:w="1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支持多种安装权限：在</w:t>
                  </w:r>
                  <w:r>
                    <w:rPr>
                      <w:rFonts w:ascii="仿宋_GB2312" w:hAnsi="仿宋_GB2312" w:cs="仿宋_GB2312" w:eastAsia="仿宋_GB2312"/>
                      <w:sz w:val="21"/>
                    </w:rPr>
                    <w:t>AD User用户权限（最低权限）下安装软件；使用指定的账户进行软件安装；让用户手动输入账户和密码进行软件安装 ；</w:t>
                  </w:r>
                </w:p>
              </w:tc>
              <w:tc>
                <w:tcPr>
                  <w:tcW w:type="dxa" w:w="447"/>
                  <w:vMerge/>
                  <w:tcBorders>
                    <w:top w:val="none" w:color="000000" w:sz="4"/>
                    <w:left w:val="none" w:color="000000" w:sz="4"/>
                    <w:bottom w:val="single" w:color="000000" w:sz="4"/>
                    <w:right w:val="single" w:color="000000" w:sz="4"/>
                  </w:tcBorders>
                </w:tcPr>
                <w:p/>
              </w:tc>
            </w:tr>
            <w:tr>
              <w:tc>
                <w:tcPr>
                  <w:tcW w:type="dxa" w:w="239"/>
                  <w:vMerge/>
                  <w:tcBorders>
                    <w:top w:val="none" w:color="000000" w:sz="4"/>
                    <w:left w:val="single" w:color="000000" w:sz="4"/>
                    <w:bottom w:val="single" w:color="000000" w:sz="4"/>
                    <w:right w:val="single" w:color="000000" w:sz="4"/>
                  </w:tcBorders>
                </w:tcPr>
                <w:p/>
              </w:tc>
              <w:tc>
                <w:tcPr>
                  <w:tcW w:type="dxa" w:w="208"/>
                  <w:vMerge/>
                  <w:tcBorders>
                    <w:top w:val="none" w:color="000000" w:sz="4"/>
                    <w:left w:val="none" w:color="000000" w:sz="4"/>
                    <w:bottom w:val="single" w:color="000000" w:sz="4"/>
                    <w:right w:val="single" w:color="000000" w:sz="4"/>
                  </w:tcBorders>
                </w:tcPr>
                <w:p/>
              </w:tc>
              <w:tc>
                <w:tcPr>
                  <w:tcW w:type="dxa" w:w="2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软件分发条件</w:t>
                  </w:r>
                </w:p>
              </w:tc>
              <w:tc>
                <w:tcPr>
                  <w:tcW w:type="dxa" w:w="1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支持在任务开始前和安装成功后对终端的软件（软件名称、软件版本、匹配条件）进行检查，包括软件已安装的检查和软件未安装的检查，仅满足检查项的终端需要被分发软件；</w:t>
                  </w:r>
                </w:p>
              </w:tc>
              <w:tc>
                <w:tcPr>
                  <w:tcW w:type="dxa" w:w="447"/>
                  <w:vMerge/>
                  <w:tcBorders>
                    <w:top w:val="none" w:color="000000" w:sz="4"/>
                    <w:left w:val="none" w:color="000000" w:sz="4"/>
                    <w:bottom w:val="single" w:color="000000" w:sz="4"/>
                    <w:right w:val="single" w:color="000000" w:sz="4"/>
                  </w:tcBorders>
                </w:tcPr>
                <w:p/>
              </w:tc>
            </w:tr>
            <w:tr>
              <w:tc>
                <w:tcPr>
                  <w:tcW w:type="dxa" w:w="239"/>
                  <w:vMerge/>
                  <w:tcBorders>
                    <w:top w:val="none" w:color="000000" w:sz="4"/>
                    <w:left w:val="single" w:color="000000" w:sz="4"/>
                    <w:bottom w:val="single" w:color="000000" w:sz="4"/>
                    <w:right w:val="single" w:color="000000" w:sz="4"/>
                  </w:tcBorders>
                </w:tcPr>
                <w:p/>
              </w:tc>
              <w:tc>
                <w:tcPr>
                  <w:tcW w:type="dxa" w:w="20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节能管理</w:t>
                  </w:r>
                </w:p>
              </w:tc>
              <w:tc>
                <w:tcPr>
                  <w:tcW w:type="dxa" w:w="2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工作时间定义</w:t>
                  </w:r>
                </w:p>
              </w:tc>
              <w:tc>
                <w:tcPr>
                  <w:tcW w:type="dxa" w:w="1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自定义工作时间段；</w:t>
                  </w:r>
                </w:p>
              </w:tc>
              <w:tc>
                <w:tcPr>
                  <w:tcW w:type="dxa" w:w="447"/>
                  <w:vMerge/>
                  <w:tcBorders>
                    <w:top w:val="none" w:color="000000" w:sz="4"/>
                    <w:left w:val="none" w:color="000000" w:sz="4"/>
                    <w:bottom w:val="single" w:color="000000" w:sz="4"/>
                    <w:right w:val="single" w:color="000000" w:sz="4"/>
                  </w:tcBorders>
                </w:tcPr>
                <w:p/>
              </w:tc>
            </w:tr>
            <w:tr>
              <w:tc>
                <w:tcPr>
                  <w:tcW w:type="dxa" w:w="239"/>
                  <w:vMerge/>
                  <w:tcBorders>
                    <w:top w:val="none" w:color="000000" w:sz="4"/>
                    <w:left w:val="single" w:color="000000" w:sz="4"/>
                    <w:bottom w:val="single" w:color="000000" w:sz="4"/>
                    <w:right w:val="single" w:color="000000" w:sz="4"/>
                  </w:tcBorders>
                </w:tcPr>
                <w:p/>
              </w:tc>
              <w:tc>
                <w:tcPr>
                  <w:tcW w:type="dxa" w:w="208"/>
                  <w:vMerge/>
                  <w:tcBorders>
                    <w:top w:val="none" w:color="000000" w:sz="4"/>
                    <w:left w:val="none" w:color="000000" w:sz="4"/>
                    <w:bottom w:val="single" w:color="000000" w:sz="4"/>
                    <w:right w:val="single" w:color="000000" w:sz="4"/>
                  </w:tcBorders>
                </w:tcPr>
                <w:p/>
              </w:tc>
              <w:tc>
                <w:tcPr>
                  <w:tcW w:type="dxa" w:w="2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节能措施</w:t>
                  </w:r>
                </w:p>
              </w:tc>
              <w:tc>
                <w:tcPr>
                  <w:tcW w:type="dxa" w:w="1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支持闲时（鼠标</w:t>
                  </w:r>
                  <w:r>
                    <w:rPr>
                      <w:rFonts w:ascii="仿宋_GB2312" w:hAnsi="仿宋_GB2312" w:cs="仿宋_GB2312" w:eastAsia="仿宋_GB2312"/>
                      <w:sz w:val="21"/>
                    </w:rPr>
                    <w:t>/键盘长时间未操作）终端关机、注销、锁定、重启、睡眠、休眠、关闭显示器等操作；</w:t>
                  </w:r>
                </w:p>
              </w:tc>
              <w:tc>
                <w:tcPr>
                  <w:tcW w:type="dxa" w:w="447"/>
                  <w:vMerge/>
                  <w:tcBorders>
                    <w:top w:val="none" w:color="000000" w:sz="4"/>
                    <w:left w:val="none" w:color="000000" w:sz="4"/>
                    <w:bottom w:val="single" w:color="000000" w:sz="4"/>
                    <w:right w:val="single" w:color="000000" w:sz="4"/>
                  </w:tcBorders>
                </w:tcPr>
                <w:p/>
              </w:tc>
            </w:tr>
            <w:tr>
              <w:tc>
                <w:tcPr>
                  <w:tcW w:type="dxa" w:w="239"/>
                  <w:vMerge/>
                  <w:tcBorders>
                    <w:top w:val="none" w:color="000000" w:sz="4"/>
                    <w:left w:val="single" w:color="000000" w:sz="4"/>
                    <w:bottom w:val="single" w:color="000000" w:sz="4"/>
                    <w:right w:val="single" w:color="000000" w:sz="4"/>
                  </w:tcBorders>
                </w:tcPr>
                <w:p/>
              </w:tc>
              <w:tc>
                <w:tcPr>
                  <w:tcW w:type="dxa" w:w="208"/>
                  <w:vMerge/>
                  <w:tcBorders>
                    <w:top w:val="none" w:color="000000" w:sz="4"/>
                    <w:left w:val="none" w:color="000000" w:sz="4"/>
                    <w:bottom w:val="single" w:color="000000" w:sz="4"/>
                    <w:right w:val="single" w:color="000000" w:sz="4"/>
                  </w:tcBorders>
                </w:tcPr>
                <w:p/>
              </w:tc>
              <w:tc>
                <w:tcPr>
                  <w:tcW w:type="dxa" w:w="2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节能优先级</w:t>
                  </w:r>
                </w:p>
              </w:tc>
              <w:tc>
                <w:tcPr>
                  <w:tcW w:type="dxa" w:w="1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支持智能选择、强制选择、优先最优节能计划设置；</w:t>
                  </w:r>
                </w:p>
              </w:tc>
              <w:tc>
                <w:tcPr>
                  <w:tcW w:type="dxa" w:w="447"/>
                  <w:vMerge/>
                  <w:tcBorders>
                    <w:top w:val="none" w:color="000000" w:sz="4"/>
                    <w:left w:val="none" w:color="000000" w:sz="4"/>
                    <w:bottom w:val="single" w:color="000000" w:sz="4"/>
                    <w:right w:val="single" w:color="000000" w:sz="4"/>
                  </w:tcBorders>
                </w:tcPr>
                <w:p/>
              </w:tc>
            </w:tr>
            <w:tr>
              <w:tc>
                <w:tcPr>
                  <w:tcW w:type="dxa" w:w="239"/>
                  <w:vMerge/>
                  <w:tcBorders>
                    <w:top w:val="none" w:color="000000" w:sz="4"/>
                    <w:left w:val="single" w:color="000000" w:sz="4"/>
                    <w:bottom w:val="single" w:color="000000" w:sz="4"/>
                    <w:right w:val="single" w:color="000000" w:sz="4"/>
                  </w:tcBorders>
                </w:tcPr>
                <w:p/>
              </w:tc>
              <w:tc>
                <w:tcPr>
                  <w:tcW w:type="dxa" w:w="20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远程协助</w:t>
                  </w:r>
                </w:p>
              </w:tc>
              <w:tc>
                <w:tcPr>
                  <w:tcW w:type="dxa" w:w="29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设备远程控制</w:t>
                  </w:r>
                </w:p>
              </w:tc>
              <w:tc>
                <w:tcPr>
                  <w:tcW w:type="dxa" w:w="1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支持对设备进行一键远程协助、远程唤醒；</w:t>
                  </w:r>
                </w:p>
              </w:tc>
              <w:tc>
                <w:tcPr>
                  <w:tcW w:type="dxa" w:w="447"/>
                  <w:vMerge/>
                  <w:tcBorders>
                    <w:top w:val="none" w:color="000000" w:sz="4"/>
                    <w:left w:val="none" w:color="000000" w:sz="4"/>
                    <w:bottom w:val="single" w:color="000000" w:sz="4"/>
                    <w:right w:val="single" w:color="000000" w:sz="4"/>
                  </w:tcBorders>
                </w:tcPr>
                <w:p/>
              </w:tc>
            </w:tr>
            <w:tr>
              <w:tc>
                <w:tcPr>
                  <w:tcW w:type="dxa" w:w="239"/>
                  <w:vMerge/>
                  <w:tcBorders>
                    <w:top w:val="none" w:color="000000" w:sz="4"/>
                    <w:left w:val="single" w:color="000000" w:sz="4"/>
                    <w:bottom w:val="single" w:color="000000" w:sz="4"/>
                    <w:right w:val="single" w:color="000000" w:sz="4"/>
                  </w:tcBorders>
                </w:tcPr>
                <w:p/>
              </w:tc>
              <w:tc>
                <w:tcPr>
                  <w:tcW w:type="dxa" w:w="208"/>
                  <w:vMerge/>
                  <w:tcBorders>
                    <w:top w:val="none" w:color="000000" w:sz="4"/>
                    <w:left w:val="none" w:color="000000" w:sz="4"/>
                    <w:bottom w:val="single" w:color="000000" w:sz="4"/>
                    <w:right w:val="single" w:color="000000" w:sz="4"/>
                  </w:tcBorders>
                </w:tcPr>
                <w:p/>
              </w:tc>
              <w:tc>
                <w:tcPr>
                  <w:tcW w:type="dxa" w:w="294"/>
                  <w:vMerge/>
                  <w:tcBorders>
                    <w:top w:val="none" w:color="000000" w:sz="4"/>
                    <w:left w:val="none" w:color="000000" w:sz="4"/>
                    <w:bottom w:val="single" w:color="000000" w:sz="4"/>
                    <w:right w:val="single" w:color="000000" w:sz="4"/>
                  </w:tcBorders>
                </w:tcPr>
                <w:p/>
              </w:tc>
              <w:tc>
                <w:tcPr>
                  <w:tcW w:type="dxa" w:w="1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支持远程对客户端进行进入特权、退出特权等操作；</w:t>
                  </w:r>
                </w:p>
              </w:tc>
              <w:tc>
                <w:tcPr>
                  <w:tcW w:type="dxa" w:w="447"/>
                  <w:vMerge/>
                  <w:tcBorders>
                    <w:top w:val="none" w:color="000000" w:sz="4"/>
                    <w:left w:val="none" w:color="000000" w:sz="4"/>
                    <w:bottom w:val="single" w:color="000000" w:sz="4"/>
                    <w:right w:val="single" w:color="000000" w:sz="4"/>
                  </w:tcBorders>
                </w:tcPr>
                <w:p/>
              </w:tc>
            </w:tr>
            <w:tr>
              <w:tc>
                <w:tcPr>
                  <w:tcW w:type="dxa" w:w="239"/>
                  <w:vMerge/>
                  <w:tcBorders>
                    <w:top w:val="none" w:color="000000" w:sz="4"/>
                    <w:left w:val="single" w:color="000000" w:sz="4"/>
                    <w:bottom w:val="single" w:color="000000" w:sz="4"/>
                    <w:right w:val="single" w:color="000000" w:sz="4"/>
                  </w:tcBorders>
                </w:tcPr>
                <w:p/>
              </w:tc>
              <w:tc>
                <w:tcPr>
                  <w:tcW w:type="dxa" w:w="208"/>
                  <w:vMerge/>
                  <w:tcBorders>
                    <w:top w:val="none" w:color="000000" w:sz="4"/>
                    <w:left w:val="none" w:color="000000" w:sz="4"/>
                    <w:bottom w:val="single" w:color="000000" w:sz="4"/>
                    <w:right w:val="single" w:color="000000" w:sz="4"/>
                  </w:tcBorders>
                </w:tcPr>
                <w:p/>
              </w:tc>
              <w:tc>
                <w:tcPr>
                  <w:tcW w:type="dxa" w:w="294"/>
                  <w:vMerge/>
                  <w:tcBorders>
                    <w:top w:val="none" w:color="000000" w:sz="4"/>
                    <w:left w:val="none" w:color="000000" w:sz="4"/>
                    <w:bottom w:val="single" w:color="000000" w:sz="4"/>
                    <w:right w:val="single" w:color="000000" w:sz="4"/>
                  </w:tcBorders>
                </w:tcPr>
                <w:p/>
              </w:tc>
              <w:tc>
                <w:tcPr>
                  <w:tcW w:type="dxa" w:w="1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支持远程对客户端进行卸载、重启等操作</w:t>
                  </w:r>
                </w:p>
              </w:tc>
              <w:tc>
                <w:tcPr>
                  <w:tcW w:type="dxa" w:w="447"/>
                  <w:vMerge/>
                  <w:tcBorders>
                    <w:top w:val="none" w:color="000000" w:sz="4"/>
                    <w:left w:val="none" w:color="000000" w:sz="4"/>
                    <w:bottom w:val="single" w:color="000000" w:sz="4"/>
                    <w:right w:val="single" w:color="000000" w:sz="4"/>
                  </w:tcBorders>
                </w:tcPr>
                <w:p/>
              </w:tc>
            </w:tr>
            <w:tr>
              <w:tc>
                <w:tcPr>
                  <w:tcW w:type="dxa" w:w="239"/>
                  <w:vMerge/>
                  <w:tcBorders>
                    <w:top w:val="none" w:color="000000" w:sz="4"/>
                    <w:left w:val="single" w:color="000000" w:sz="4"/>
                    <w:bottom w:val="single" w:color="000000" w:sz="4"/>
                    <w:right w:val="single" w:color="000000" w:sz="4"/>
                  </w:tcBorders>
                </w:tcPr>
                <w:p/>
              </w:tc>
              <w:tc>
                <w:tcPr>
                  <w:tcW w:type="dxa" w:w="208"/>
                  <w:vMerge/>
                  <w:tcBorders>
                    <w:top w:val="none" w:color="000000" w:sz="4"/>
                    <w:left w:val="none" w:color="000000" w:sz="4"/>
                    <w:bottom w:val="single" w:color="000000" w:sz="4"/>
                    <w:right w:val="single" w:color="000000" w:sz="4"/>
                  </w:tcBorders>
                </w:tcPr>
                <w:p/>
              </w:tc>
              <w:tc>
                <w:tcPr>
                  <w:tcW w:type="dxa" w:w="29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远程模式</w:t>
                  </w:r>
                </w:p>
              </w:tc>
              <w:tc>
                <w:tcPr>
                  <w:tcW w:type="dxa" w:w="1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在局域网和</w:t>
                  </w:r>
                  <w:r>
                    <w:rPr>
                      <w:rFonts w:ascii="仿宋_GB2312" w:hAnsi="仿宋_GB2312" w:cs="仿宋_GB2312" w:eastAsia="仿宋_GB2312"/>
                      <w:sz w:val="21"/>
                    </w:rPr>
                    <w:t>NAT环境下，终端用户可发起远程请求。管理员可发起远程，并支持远程确认模式。远程管理员发起的远程请求必须由终端用户进行确认，才能建立远程连接；支持在锁屏、注销、系统未登录状态下发起远程协助；</w:t>
                  </w:r>
                </w:p>
              </w:tc>
              <w:tc>
                <w:tcPr>
                  <w:tcW w:type="dxa" w:w="447"/>
                  <w:vMerge/>
                  <w:tcBorders>
                    <w:top w:val="none" w:color="000000" w:sz="4"/>
                    <w:left w:val="none" w:color="000000" w:sz="4"/>
                    <w:bottom w:val="single" w:color="000000" w:sz="4"/>
                    <w:right w:val="single" w:color="000000" w:sz="4"/>
                  </w:tcBorders>
                </w:tcPr>
                <w:p/>
              </w:tc>
            </w:tr>
            <w:tr>
              <w:tc>
                <w:tcPr>
                  <w:tcW w:type="dxa" w:w="239"/>
                  <w:vMerge/>
                  <w:tcBorders>
                    <w:top w:val="none" w:color="000000" w:sz="4"/>
                    <w:left w:val="single" w:color="000000" w:sz="4"/>
                    <w:bottom w:val="single" w:color="000000" w:sz="4"/>
                    <w:right w:val="single" w:color="000000" w:sz="4"/>
                  </w:tcBorders>
                </w:tcPr>
                <w:p/>
              </w:tc>
              <w:tc>
                <w:tcPr>
                  <w:tcW w:type="dxa" w:w="208"/>
                  <w:vMerge/>
                  <w:tcBorders>
                    <w:top w:val="none" w:color="000000" w:sz="4"/>
                    <w:left w:val="none" w:color="000000" w:sz="4"/>
                    <w:bottom w:val="single" w:color="000000" w:sz="4"/>
                    <w:right w:val="single" w:color="000000" w:sz="4"/>
                  </w:tcBorders>
                </w:tcPr>
                <w:p/>
              </w:tc>
              <w:tc>
                <w:tcPr>
                  <w:tcW w:type="dxa" w:w="294"/>
                  <w:vMerge/>
                  <w:tcBorders>
                    <w:top w:val="none" w:color="000000" w:sz="4"/>
                    <w:left w:val="none" w:color="000000" w:sz="4"/>
                    <w:bottom w:val="single" w:color="000000" w:sz="4"/>
                    <w:right w:val="single" w:color="000000" w:sz="4"/>
                  </w:tcBorders>
                </w:tcPr>
                <w:p/>
              </w:tc>
              <w:tc>
                <w:tcPr>
                  <w:tcW w:type="dxa" w:w="1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在局域网和</w:t>
                  </w:r>
                  <w:r>
                    <w:rPr>
                      <w:rFonts w:ascii="仿宋_GB2312" w:hAnsi="仿宋_GB2312" w:cs="仿宋_GB2312" w:eastAsia="仿宋_GB2312"/>
                      <w:sz w:val="21"/>
                    </w:rPr>
                    <w:t>NAT环境下，支持多对一模式，多个管理员可同时对一个终端进行远程协助；支持一对多模式，一个管理员可同时对多个终端进行远程协助；</w:t>
                  </w:r>
                </w:p>
              </w:tc>
              <w:tc>
                <w:tcPr>
                  <w:tcW w:type="dxa" w:w="447"/>
                  <w:vMerge/>
                  <w:tcBorders>
                    <w:top w:val="none" w:color="000000" w:sz="4"/>
                    <w:left w:val="none" w:color="000000" w:sz="4"/>
                    <w:bottom w:val="single" w:color="000000" w:sz="4"/>
                    <w:right w:val="single" w:color="000000" w:sz="4"/>
                  </w:tcBorders>
                </w:tcPr>
                <w:p/>
              </w:tc>
            </w:tr>
            <w:tr>
              <w:tc>
                <w:tcPr>
                  <w:tcW w:type="dxa" w:w="239"/>
                  <w:vMerge/>
                  <w:tcBorders>
                    <w:top w:val="none" w:color="000000" w:sz="4"/>
                    <w:left w:val="single" w:color="000000" w:sz="4"/>
                    <w:bottom w:val="single" w:color="000000" w:sz="4"/>
                    <w:right w:val="single" w:color="000000" w:sz="4"/>
                  </w:tcBorders>
                </w:tcPr>
                <w:p/>
              </w:tc>
              <w:tc>
                <w:tcPr>
                  <w:tcW w:type="dxa" w:w="20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非授权外联控制</w:t>
                  </w:r>
                </w:p>
              </w:tc>
              <w:tc>
                <w:tcPr>
                  <w:tcW w:type="dxa" w:w="29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非法外联控制</w:t>
                  </w:r>
                </w:p>
              </w:tc>
              <w:tc>
                <w:tcPr>
                  <w:tcW w:type="dxa" w:w="1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w:t>
                  </w:r>
                  <w:r>
                    <w:rPr>
                      <w:rFonts w:ascii="仿宋_GB2312" w:hAnsi="仿宋_GB2312" w:cs="仿宋_GB2312" w:eastAsia="仿宋_GB2312"/>
                      <w:sz w:val="21"/>
                    </w:rPr>
                    <w:t>支持终端设备的外联接口进行安全管控，包括但不限于红外、蓝牙、软盘、光盘、串口、并口、网络接口、</w:t>
                  </w:r>
                  <w:r>
                    <w:rPr>
                      <w:rFonts w:ascii="仿宋_GB2312" w:hAnsi="仿宋_GB2312" w:cs="仿宋_GB2312" w:eastAsia="仿宋_GB2312"/>
                      <w:sz w:val="21"/>
                    </w:rPr>
                    <w:t>USB接口以及其他外联设备；</w:t>
                  </w:r>
                </w:p>
              </w:tc>
              <w:tc>
                <w:tcPr>
                  <w:tcW w:type="dxa" w:w="44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同时支持</w:t>
                  </w:r>
                  <w:r>
                    <w:rPr>
                      <w:rFonts w:ascii="仿宋_GB2312" w:hAnsi="仿宋_GB2312" w:cs="仿宋_GB2312" w:eastAsia="仿宋_GB2312"/>
                      <w:sz w:val="21"/>
                    </w:rPr>
                    <w:t>Windows、Linux和常用国产化操作系统（麒麟、统信等）</w:t>
                  </w:r>
                  <w:r>
                    <w:rPr>
                      <w:rFonts w:ascii="仿宋_GB2312" w:hAnsi="仿宋_GB2312" w:cs="仿宋_GB2312" w:eastAsia="仿宋_GB2312"/>
                      <w:sz w:val="21"/>
                    </w:rPr>
                    <w:t>桌面</w:t>
                  </w:r>
                  <w:r>
                    <w:rPr>
                      <w:rFonts w:ascii="仿宋_GB2312" w:hAnsi="仿宋_GB2312" w:cs="仿宋_GB2312" w:eastAsia="仿宋_GB2312"/>
                      <w:sz w:val="21"/>
                    </w:rPr>
                    <w:t>客户端许可</w:t>
                  </w:r>
                  <w:r>
                    <w:rPr>
                      <w:rFonts w:ascii="仿宋_GB2312" w:hAnsi="仿宋_GB2312" w:cs="仿宋_GB2312" w:eastAsia="仿宋_GB2312"/>
                      <w:sz w:val="21"/>
                    </w:rPr>
                    <w:t>≥1</w:t>
                  </w:r>
                  <w:r>
                    <w:rPr>
                      <w:rFonts w:ascii="仿宋_GB2312" w:hAnsi="仿宋_GB2312" w:cs="仿宋_GB2312" w:eastAsia="仿宋_GB2312"/>
                      <w:sz w:val="21"/>
                    </w:rPr>
                    <w:t>0</w:t>
                  </w:r>
                  <w:r>
                    <w:rPr>
                      <w:rFonts w:ascii="仿宋_GB2312" w:hAnsi="仿宋_GB2312" w:cs="仿宋_GB2312" w:eastAsia="仿宋_GB2312"/>
                      <w:sz w:val="21"/>
                    </w:rPr>
                    <w:t>00点</w:t>
                  </w:r>
                </w:p>
              </w:tc>
            </w:tr>
            <w:tr>
              <w:tc>
                <w:tcPr>
                  <w:tcW w:type="dxa" w:w="239"/>
                  <w:vMerge/>
                  <w:tcBorders>
                    <w:top w:val="none" w:color="000000" w:sz="4"/>
                    <w:left w:val="single" w:color="000000" w:sz="4"/>
                    <w:bottom w:val="single" w:color="000000" w:sz="4"/>
                    <w:right w:val="single" w:color="000000" w:sz="4"/>
                  </w:tcBorders>
                </w:tcPr>
                <w:p/>
              </w:tc>
              <w:tc>
                <w:tcPr>
                  <w:tcW w:type="dxa" w:w="208"/>
                  <w:vMerge/>
                  <w:tcBorders>
                    <w:top w:val="none" w:color="000000" w:sz="4"/>
                    <w:left w:val="none" w:color="000000" w:sz="4"/>
                    <w:bottom w:val="single" w:color="000000" w:sz="4"/>
                    <w:right w:val="single" w:color="000000" w:sz="4"/>
                  </w:tcBorders>
                </w:tcPr>
                <w:p/>
              </w:tc>
              <w:tc>
                <w:tcPr>
                  <w:tcW w:type="dxa" w:w="294"/>
                  <w:vMerge/>
                  <w:tcBorders>
                    <w:top w:val="none" w:color="000000" w:sz="4"/>
                    <w:left w:val="none" w:color="000000" w:sz="4"/>
                    <w:bottom w:val="single" w:color="000000" w:sz="4"/>
                    <w:right w:val="single" w:color="000000" w:sz="4"/>
                  </w:tcBorders>
                </w:tcPr>
                <w:p/>
              </w:tc>
              <w:tc>
                <w:tcPr>
                  <w:tcW w:type="dxa" w:w="1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支持禁用终端电脑共享</w:t>
                  </w:r>
                  <w:r>
                    <w:rPr>
                      <w:rFonts w:ascii="仿宋_GB2312" w:hAnsi="仿宋_GB2312" w:cs="仿宋_GB2312" w:eastAsia="仿宋_GB2312"/>
                      <w:sz w:val="21"/>
                    </w:rPr>
                    <w:t>WiFi热点（含windows和macOS)</w:t>
                  </w:r>
                </w:p>
              </w:tc>
              <w:tc>
                <w:tcPr>
                  <w:tcW w:type="dxa" w:w="447"/>
                  <w:vMerge/>
                  <w:tcBorders>
                    <w:top w:val="none" w:color="000000" w:sz="4"/>
                    <w:left w:val="none" w:color="000000" w:sz="4"/>
                    <w:bottom w:val="single" w:color="000000" w:sz="4"/>
                    <w:right w:val="single" w:color="000000" w:sz="4"/>
                  </w:tcBorders>
                </w:tcPr>
                <w:p/>
              </w:tc>
            </w:tr>
            <w:tr>
              <w:tc>
                <w:tcPr>
                  <w:tcW w:type="dxa" w:w="239"/>
                  <w:vMerge/>
                  <w:tcBorders>
                    <w:top w:val="none" w:color="000000" w:sz="4"/>
                    <w:left w:val="single" w:color="000000" w:sz="4"/>
                    <w:bottom w:val="single" w:color="000000" w:sz="4"/>
                    <w:right w:val="single" w:color="000000" w:sz="4"/>
                  </w:tcBorders>
                </w:tcPr>
                <w:p/>
              </w:tc>
              <w:tc>
                <w:tcPr>
                  <w:tcW w:type="dxa" w:w="208"/>
                  <w:vMerge/>
                  <w:tcBorders>
                    <w:top w:val="none" w:color="000000" w:sz="4"/>
                    <w:left w:val="none" w:color="000000" w:sz="4"/>
                    <w:bottom w:val="single" w:color="000000" w:sz="4"/>
                    <w:right w:val="single" w:color="000000" w:sz="4"/>
                  </w:tcBorders>
                </w:tcPr>
                <w:p/>
              </w:tc>
              <w:tc>
                <w:tcPr>
                  <w:tcW w:type="dxa" w:w="294"/>
                  <w:vMerge/>
                  <w:tcBorders>
                    <w:top w:val="none" w:color="000000" w:sz="4"/>
                    <w:left w:val="none" w:color="000000" w:sz="4"/>
                    <w:bottom w:val="single" w:color="000000" w:sz="4"/>
                    <w:right w:val="single" w:color="000000" w:sz="4"/>
                  </w:tcBorders>
                </w:tcPr>
                <w:p/>
              </w:tc>
              <w:tc>
                <w:tcPr>
                  <w:tcW w:type="dxa" w:w="1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支持对无线以太网卡进行禁用、审计、仅在有线网卡工作时禁用、</w:t>
                  </w:r>
                  <w:r>
                    <w:rPr>
                      <w:rFonts w:ascii="仿宋_GB2312" w:hAnsi="仿宋_GB2312" w:cs="仿宋_GB2312" w:eastAsia="仿宋_GB2312"/>
                      <w:sz w:val="21"/>
                    </w:rPr>
                    <w:t>WiFi白名单、WiFi黑名单控制；</w:t>
                  </w:r>
                </w:p>
              </w:tc>
              <w:tc>
                <w:tcPr>
                  <w:tcW w:type="dxa" w:w="447"/>
                  <w:vMerge/>
                  <w:tcBorders>
                    <w:top w:val="none" w:color="000000" w:sz="4"/>
                    <w:left w:val="none" w:color="000000" w:sz="4"/>
                    <w:bottom w:val="single" w:color="000000" w:sz="4"/>
                    <w:right w:val="single" w:color="000000" w:sz="4"/>
                  </w:tcBorders>
                </w:tcPr>
                <w:p/>
              </w:tc>
            </w:tr>
            <w:tr>
              <w:tc>
                <w:tcPr>
                  <w:tcW w:type="dxa" w:w="239"/>
                  <w:vMerge/>
                  <w:tcBorders>
                    <w:top w:val="none" w:color="000000" w:sz="4"/>
                    <w:left w:val="single" w:color="000000" w:sz="4"/>
                    <w:bottom w:val="single" w:color="000000" w:sz="4"/>
                    <w:right w:val="single" w:color="000000" w:sz="4"/>
                  </w:tcBorders>
                </w:tcPr>
                <w:p/>
              </w:tc>
              <w:tc>
                <w:tcPr>
                  <w:tcW w:type="dxa" w:w="208"/>
                  <w:vMerge/>
                  <w:tcBorders>
                    <w:top w:val="none" w:color="000000" w:sz="4"/>
                    <w:left w:val="none" w:color="000000" w:sz="4"/>
                    <w:bottom w:val="single" w:color="000000" w:sz="4"/>
                    <w:right w:val="single" w:color="000000" w:sz="4"/>
                  </w:tcBorders>
                </w:tcPr>
                <w:p/>
              </w:tc>
              <w:tc>
                <w:tcPr>
                  <w:tcW w:type="dxa" w:w="294"/>
                  <w:vMerge/>
                  <w:tcBorders>
                    <w:top w:val="none" w:color="000000" w:sz="4"/>
                    <w:left w:val="none" w:color="000000" w:sz="4"/>
                    <w:bottom w:val="single" w:color="000000" w:sz="4"/>
                    <w:right w:val="single" w:color="000000" w:sz="4"/>
                  </w:tcBorders>
                </w:tcPr>
                <w:p/>
              </w:tc>
              <w:tc>
                <w:tcPr>
                  <w:tcW w:type="dxa" w:w="1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支持无线</w:t>
                  </w:r>
                  <w:r>
                    <w:rPr>
                      <w:rFonts w:ascii="仿宋_GB2312" w:hAnsi="仿宋_GB2312" w:cs="仿宋_GB2312" w:eastAsia="仿宋_GB2312"/>
                      <w:sz w:val="21"/>
                    </w:rPr>
                    <w:t>SSID仿冒检测；</w:t>
                  </w:r>
                </w:p>
              </w:tc>
              <w:tc>
                <w:tcPr>
                  <w:tcW w:type="dxa" w:w="447"/>
                  <w:vMerge/>
                  <w:tcBorders>
                    <w:top w:val="none" w:color="000000" w:sz="4"/>
                    <w:left w:val="none" w:color="000000" w:sz="4"/>
                    <w:bottom w:val="single" w:color="000000" w:sz="4"/>
                    <w:right w:val="single" w:color="000000" w:sz="4"/>
                  </w:tcBorders>
                </w:tcPr>
                <w:p/>
              </w:tc>
            </w:tr>
            <w:tr>
              <w:tc>
                <w:tcPr>
                  <w:tcW w:type="dxa" w:w="239"/>
                  <w:vMerge/>
                  <w:tcBorders>
                    <w:top w:val="none" w:color="000000" w:sz="4"/>
                    <w:left w:val="single" w:color="000000" w:sz="4"/>
                    <w:bottom w:val="single" w:color="000000" w:sz="4"/>
                    <w:right w:val="single" w:color="000000" w:sz="4"/>
                  </w:tcBorders>
                </w:tcPr>
                <w:p/>
              </w:tc>
              <w:tc>
                <w:tcPr>
                  <w:tcW w:type="dxa" w:w="208"/>
                  <w:vMerge/>
                  <w:tcBorders>
                    <w:top w:val="none" w:color="000000" w:sz="4"/>
                    <w:left w:val="none" w:color="000000" w:sz="4"/>
                    <w:bottom w:val="single" w:color="000000" w:sz="4"/>
                    <w:right w:val="single" w:color="000000" w:sz="4"/>
                  </w:tcBorders>
                </w:tcPr>
                <w:p/>
              </w:tc>
              <w:tc>
                <w:tcPr>
                  <w:tcW w:type="dxa" w:w="294"/>
                  <w:vMerge/>
                  <w:tcBorders>
                    <w:top w:val="none" w:color="000000" w:sz="4"/>
                    <w:left w:val="none" w:color="000000" w:sz="4"/>
                    <w:bottom w:val="single" w:color="000000" w:sz="4"/>
                    <w:right w:val="single" w:color="000000" w:sz="4"/>
                  </w:tcBorders>
                </w:tcPr>
                <w:p/>
              </w:tc>
              <w:tc>
                <w:tcPr>
                  <w:tcW w:type="dxa" w:w="1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支持根据设备的</w:t>
                  </w:r>
                  <w:r>
                    <w:rPr>
                      <w:rFonts w:ascii="仿宋_GB2312" w:hAnsi="仿宋_GB2312" w:cs="仿宋_GB2312" w:eastAsia="仿宋_GB2312"/>
                      <w:sz w:val="21"/>
                    </w:rPr>
                    <w:t>PID、HWID等信息进行禁用和例外；从而达到一次允许或禁止某个厂家的设备或某一批次的设备；</w:t>
                  </w:r>
                </w:p>
              </w:tc>
              <w:tc>
                <w:tcPr>
                  <w:tcW w:type="dxa" w:w="447"/>
                  <w:vMerge/>
                  <w:tcBorders>
                    <w:top w:val="none" w:color="000000" w:sz="4"/>
                    <w:left w:val="none" w:color="000000" w:sz="4"/>
                    <w:bottom w:val="single" w:color="000000" w:sz="4"/>
                    <w:right w:val="single" w:color="000000" w:sz="4"/>
                  </w:tcBorders>
                </w:tcPr>
                <w:p/>
              </w:tc>
            </w:tr>
            <w:tr>
              <w:tc>
                <w:tcPr>
                  <w:tcW w:type="dxa" w:w="239"/>
                  <w:vMerge/>
                  <w:tcBorders>
                    <w:top w:val="none" w:color="000000" w:sz="4"/>
                    <w:left w:val="single" w:color="000000" w:sz="4"/>
                    <w:bottom w:val="single" w:color="000000" w:sz="4"/>
                    <w:right w:val="single" w:color="000000" w:sz="4"/>
                  </w:tcBorders>
                </w:tcPr>
                <w:p/>
              </w:tc>
              <w:tc>
                <w:tcPr>
                  <w:tcW w:type="dxa" w:w="208"/>
                  <w:vMerge/>
                  <w:tcBorders>
                    <w:top w:val="none" w:color="000000" w:sz="4"/>
                    <w:left w:val="none" w:color="000000" w:sz="4"/>
                    <w:bottom w:val="single" w:color="000000" w:sz="4"/>
                    <w:right w:val="single" w:color="000000" w:sz="4"/>
                  </w:tcBorders>
                </w:tcPr>
                <w:p/>
              </w:tc>
              <w:tc>
                <w:tcPr>
                  <w:tcW w:type="dxa" w:w="294"/>
                  <w:vMerge/>
                  <w:tcBorders>
                    <w:top w:val="none" w:color="000000" w:sz="4"/>
                    <w:left w:val="none" w:color="000000" w:sz="4"/>
                    <w:bottom w:val="single" w:color="000000" w:sz="4"/>
                    <w:right w:val="single" w:color="000000" w:sz="4"/>
                  </w:tcBorders>
                </w:tcPr>
                <w:p/>
              </w:tc>
              <w:tc>
                <w:tcPr>
                  <w:tcW w:type="dxa" w:w="1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支持</w:t>
                  </w:r>
                  <w:r>
                    <w:rPr>
                      <w:rFonts w:ascii="仿宋_GB2312" w:hAnsi="仿宋_GB2312" w:cs="仿宋_GB2312" w:eastAsia="仿宋_GB2312"/>
                      <w:sz w:val="21"/>
                    </w:rPr>
                    <w:t>Linux下U盘禁用，macOS支持禁用U盘并审计、未注册U盘只读并审计、禁止和审计自建WiFi、禁用和审计无线网卡、WiFi白名单、蓝牙控制</w:t>
                  </w:r>
                </w:p>
              </w:tc>
              <w:tc>
                <w:tcPr>
                  <w:tcW w:type="dxa" w:w="447"/>
                  <w:vMerge/>
                  <w:tcBorders>
                    <w:top w:val="none" w:color="000000" w:sz="4"/>
                    <w:left w:val="none" w:color="000000" w:sz="4"/>
                    <w:bottom w:val="single" w:color="000000" w:sz="4"/>
                    <w:right w:val="single" w:color="000000" w:sz="4"/>
                  </w:tcBorders>
                </w:tcPr>
                <w:p/>
              </w:tc>
            </w:tr>
            <w:tr>
              <w:tc>
                <w:tcPr>
                  <w:tcW w:type="dxa" w:w="239"/>
                  <w:vMerge/>
                  <w:tcBorders>
                    <w:top w:val="none" w:color="000000" w:sz="4"/>
                    <w:left w:val="single" w:color="000000" w:sz="4"/>
                    <w:bottom w:val="single" w:color="000000" w:sz="4"/>
                    <w:right w:val="single" w:color="000000" w:sz="4"/>
                  </w:tcBorders>
                </w:tcPr>
                <w:p/>
              </w:tc>
              <w:tc>
                <w:tcPr>
                  <w:tcW w:type="dxa" w:w="208"/>
                  <w:vMerge/>
                  <w:tcBorders>
                    <w:top w:val="none" w:color="000000" w:sz="4"/>
                    <w:left w:val="none" w:color="000000" w:sz="4"/>
                    <w:bottom w:val="single" w:color="000000" w:sz="4"/>
                    <w:right w:val="single" w:color="000000" w:sz="4"/>
                  </w:tcBorders>
                </w:tcPr>
                <w:p/>
              </w:tc>
              <w:tc>
                <w:tcPr>
                  <w:tcW w:type="dxa" w:w="29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网络连接审计与控制</w:t>
                  </w:r>
                </w:p>
              </w:tc>
              <w:tc>
                <w:tcPr>
                  <w:tcW w:type="dxa" w:w="1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支持通过</w:t>
                  </w:r>
                  <w:r>
                    <w:rPr>
                      <w:rFonts w:ascii="仿宋_GB2312" w:hAnsi="仿宋_GB2312" w:cs="仿宋_GB2312" w:eastAsia="仿宋_GB2312"/>
                      <w:sz w:val="21"/>
                    </w:rPr>
                    <w:t>PING/TCP/HTTP等方式检测终端是否与互联网连通、检测终端是否与其他网络连通（含电脑直连方式）、检测终端是否与特定网络连通；</w:t>
                  </w:r>
                </w:p>
              </w:tc>
              <w:tc>
                <w:tcPr>
                  <w:tcW w:type="dxa" w:w="447"/>
                  <w:vMerge/>
                  <w:tcBorders>
                    <w:top w:val="none" w:color="000000" w:sz="4"/>
                    <w:left w:val="none" w:color="000000" w:sz="4"/>
                    <w:bottom w:val="single" w:color="000000" w:sz="4"/>
                    <w:right w:val="single" w:color="000000" w:sz="4"/>
                  </w:tcBorders>
                </w:tcPr>
                <w:p/>
              </w:tc>
            </w:tr>
            <w:tr>
              <w:tc>
                <w:tcPr>
                  <w:tcW w:type="dxa" w:w="239"/>
                  <w:vMerge/>
                  <w:tcBorders>
                    <w:top w:val="none" w:color="000000" w:sz="4"/>
                    <w:left w:val="single" w:color="000000" w:sz="4"/>
                    <w:bottom w:val="single" w:color="000000" w:sz="4"/>
                    <w:right w:val="single" w:color="000000" w:sz="4"/>
                  </w:tcBorders>
                </w:tcPr>
                <w:p/>
              </w:tc>
              <w:tc>
                <w:tcPr>
                  <w:tcW w:type="dxa" w:w="208"/>
                  <w:vMerge/>
                  <w:tcBorders>
                    <w:top w:val="none" w:color="000000" w:sz="4"/>
                    <w:left w:val="none" w:color="000000" w:sz="4"/>
                    <w:bottom w:val="single" w:color="000000" w:sz="4"/>
                    <w:right w:val="single" w:color="000000" w:sz="4"/>
                  </w:tcBorders>
                </w:tcPr>
                <w:p/>
              </w:tc>
              <w:tc>
                <w:tcPr>
                  <w:tcW w:type="dxa" w:w="294"/>
                  <w:vMerge/>
                  <w:tcBorders>
                    <w:top w:val="none" w:color="000000" w:sz="4"/>
                    <w:left w:val="none" w:color="000000" w:sz="4"/>
                    <w:bottom w:val="single" w:color="000000" w:sz="4"/>
                    <w:right w:val="single" w:color="000000" w:sz="4"/>
                  </w:tcBorders>
                </w:tcPr>
                <w:p/>
              </w:tc>
              <w:tc>
                <w:tcPr>
                  <w:tcW w:type="dxa" w:w="1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支持处置：断网，直到事件恢复或必须由管理员恢复；锁屏，必须管理员恢复；</w:t>
                  </w:r>
                </w:p>
              </w:tc>
              <w:tc>
                <w:tcPr>
                  <w:tcW w:type="dxa" w:w="447"/>
                  <w:vMerge/>
                  <w:tcBorders>
                    <w:top w:val="none" w:color="000000" w:sz="4"/>
                    <w:left w:val="none" w:color="000000" w:sz="4"/>
                    <w:bottom w:val="single" w:color="000000" w:sz="4"/>
                    <w:right w:val="single" w:color="000000" w:sz="4"/>
                  </w:tcBorders>
                </w:tcPr>
                <w:p/>
              </w:tc>
            </w:tr>
            <w:tr>
              <w:tc>
                <w:tcPr>
                  <w:tcW w:type="dxa" w:w="239"/>
                  <w:vMerge/>
                  <w:tcBorders>
                    <w:top w:val="none" w:color="000000" w:sz="4"/>
                    <w:left w:val="single" w:color="000000" w:sz="4"/>
                    <w:bottom w:val="single" w:color="000000" w:sz="4"/>
                    <w:right w:val="single" w:color="000000" w:sz="4"/>
                  </w:tcBorders>
                </w:tcPr>
                <w:p/>
              </w:tc>
              <w:tc>
                <w:tcPr>
                  <w:tcW w:type="dxa" w:w="20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终端安全管理</w:t>
                  </w:r>
                </w:p>
              </w:tc>
              <w:tc>
                <w:tcPr>
                  <w:tcW w:type="dxa" w:w="2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防病毒检查</w:t>
                  </w:r>
                </w:p>
              </w:tc>
              <w:tc>
                <w:tcPr>
                  <w:tcW w:type="dxa" w:w="1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w:t>
                  </w:r>
                  <w:r>
                    <w:rPr>
                      <w:rFonts w:ascii="仿宋_GB2312" w:hAnsi="仿宋_GB2312" w:cs="仿宋_GB2312" w:eastAsia="仿宋_GB2312"/>
                      <w:sz w:val="21"/>
                    </w:rPr>
                    <w:t>提供主流防病毒软件检查，包括软件版本、杀毒引擎版本、病毒库更新；</w:t>
                  </w:r>
                </w:p>
              </w:tc>
              <w:tc>
                <w:tcPr>
                  <w:tcW w:type="dxa" w:w="44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同时支持</w:t>
                  </w:r>
                  <w:r>
                    <w:rPr>
                      <w:rFonts w:ascii="仿宋_GB2312" w:hAnsi="仿宋_GB2312" w:cs="仿宋_GB2312" w:eastAsia="仿宋_GB2312"/>
                      <w:sz w:val="21"/>
                    </w:rPr>
                    <w:t>Windows、Linux和常用国产化操作系统（麒麟、统信等）</w:t>
                  </w:r>
                  <w:r>
                    <w:rPr>
                      <w:rFonts w:ascii="仿宋_GB2312" w:hAnsi="仿宋_GB2312" w:cs="仿宋_GB2312" w:eastAsia="仿宋_GB2312"/>
                      <w:sz w:val="21"/>
                    </w:rPr>
                    <w:t>桌面</w:t>
                  </w:r>
                  <w:r>
                    <w:rPr>
                      <w:rFonts w:ascii="仿宋_GB2312" w:hAnsi="仿宋_GB2312" w:cs="仿宋_GB2312" w:eastAsia="仿宋_GB2312"/>
                      <w:sz w:val="21"/>
                    </w:rPr>
                    <w:t>客户端许可</w:t>
                  </w:r>
                  <w:r>
                    <w:rPr>
                      <w:rFonts w:ascii="仿宋_GB2312" w:hAnsi="仿宋_GB2312" w:cs="仿宋_GB2312" w:eastAsia="仿宋_GB2312"/>
                      <w:sz w:val="21"/>
                    </w:rPr>
                    <w:t>≥1</w:t>
                  </w:r>
                  <w:r>
                    <w:rPr>
                      <w:rFonts w:ascii="仿宋_GB2312" w:hAnsi="仿宋_GB2312" w:cs="仿宋_GB2312" w:eastAsia="仿宋_GB2312"/>
                      <w:sz w:val="21"/>
                    </w:rPr>
                    <w:t>0</w:t>
                  </w:r>
                  <w:r>
                    <w:rPr>
                      <w:rFonts w:ascii="仿宋_GB2312" w:hAnsi="仿宋_GB2312" w:cs="仿宋_GB2312" w:eastAsia="仿宋_GB2312"/>
                      <w:sz w:val="21"/>
                    </w:rPr>
                    <w:t>00点</w:t>
                  </w:r>
                </w:p>
              </w:tc>
            </w:tr>
            <w:tr>
              <w:tc>
                <w:tcPr>
                  <w:tcW w:type="dxa" w:w="239"/>
                  <w:vMerge/>
                  <w:tcBorders>
                    <w:top w:val="none" w:color="000000" w:sz="4"/>
                    <w:left w:val="single" w:color="000000" w:sz="4"/>
                    <w:bottom w:val="single" w:color="000000" w:sz="4"/>
                    <w:right w:val="single" w:color="000000" w:sz="4"/>
                  </w:tcBorders>
                </w:tcPr>
                <w:p/>
              </w:tc>
              <w:tc>
                <w:tcPr>
                  <w:tcW w:type="dxa" w:w="208"/>
                  <w:vMerge/>
                  <w:tcBorders>
                    <w:top w:val="none" w:color="000000" w:sz="4"/>
                    <w:left w:val="none" w:color="000000" w:sz="4"/>
                    <w:bottom w:val="single" w:color="000000" w:sz="4"/>
                    <w:right w:val="single" w:color="000000" w:sz="4"/>
                  </w:tcBorders>
                </w:tcPr>
                <w:p/>
              </w:tc>
              <w:tc>
                <w:tcPr>
                  <w:tcW w:type="dxa" w:w="29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防火墙</w:t>
                  </w:r>
                </w:p>
              </w:tc>
              <w:tc>
                <w:tcPr>
                  <w:tcW w:type="dxa" w:w="1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支持防火墙（网络资源访问控制）提供自定义协议与服务端口，支持</w:t>
                  </w:r>
                  <w:r>
                    <w:rPr>
                      <w:rFonts w:ascii="仿宋_GB2312" w:hAnsi="仿宋_GB2312" w:cs="仿宋_GB2312" w:eastAsia="仿宋_GB2312"/>
                      <w:sz w:val="21"/>
                    </w:rPr>
                    <w:t>TCP、UDP、RDP、HTTP、FTP、共享；支持源或目的的双向控制，支持入站和出站的双向控制。</w:t>
                  </w:r>
                </w:p>
              </w:tc>
              <w:tc>
                <w:tcPr>
                  <w:tcW w:type="dxa" w:w="447"/>
                  <w:vMerge/>
                  <w:tcBorders>
                    <w:top w:val="none" w:color="000000" w:sz="4"/>
                    <w:left w:val="none" w:color="000000" w:sz="4"/>
                    <w:bottom w:val="single" w:color="000000" w:sz="4"/>
                    <w:right w:val="single" w:color="000000" w:sz="4"/>
                  </w:tcBorders>
                </w:tcPr>
                <w:p/>
              </w:tc>
            </w:tr>
            <w:tr>
              <w:tc>
                <w:tcPr>
                  <w:tcW w:type="dxa" w:w="239"/>
                  <w:vMerge/>
                  <w:tcBorders>
                    <w:top w:val="none" w:color="000000" w:sz="4"/>
                    <w:left w:val="single" w:color="000000" w:sz="4"/>
                    <w:bottom w:val="single" w:color="000000" w:sz="4"/>
                    <w:right w:val="single" w:color="000000" w:sz="4"/>
                  </w:tcBorders>
                </w:tcPr>
                <w:p/>
              </w:tc>
              <w:tc>
                <w:tcPr>
                  <w:tcW w:type="dxa" w:w="208"/>
                  <w:vMerge/>
                  <w:tcBorders>
                    <w:top w:val="none" w:color="000000" w:sz="4"/>
                    <w:left w:val="none" w:color="000000" w:sz="4"/>
                    <w:bottom w:val="single" w:color="000000" w:sz="4"/>
                    <w:right w:val="single" w:color="000000" w:sz="4"/>
                  </w:tcBorders>
                </w:tcPr>
                <w:p/>
              </w:tc>
              <w:tc>
                <w:tcPr>
                  <w:tcW w:type="dxa" w:w="294"/>
                  <w:vMerge/>
                  <w:tcBorders>
                    <w:top w:val="none" w:color="000000" w:sz="4"/>
                    <w:left w:val="none" w:color="000000" w:sz="4"/>
                    <w:bottom w:val="single" w:color="000000" w:sz="4"/>
                    <w:right w:val="single" w:color="000000" w:sz="4"/>
                  </w:tcBorders>
                </w:tcPr>
                <w:p/>
              </w:tc>
              <w:tc>
                <w:tcPr>
                  <w:tcW w:type="dxa" w:w="1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支持已安装客户端的主机与未安装客户端或客户端离线的主机进行隔离控制；</w:t>
                  </w:r>
                  <w:r>
                    <w:rPr>
                      <w:rFonts w:ascii="仿宋_GB2312" w:hAnsi="仿宋_GB2312" w:cs="仿宋_GB2312" w:eastAsia="仿宋_GB2312"/>
                      <w:sz w:val="21"/>
                    </w:rPr>
                    <w:t>（</w:t>
                  </w:r>
                  <w:r>
                    <w:rPr>
                      <w:rFonts w:ascii="仿宋_GB2312" w:hAnsi="仿宋_GB2312" w:cs="仿宋_GB2312" w:eastAsia="仿宋_GB2312"/>
                      <w:sz w:val="21"/>
                      <w:b/>
                    </w:rPr>
                    <w:t>须进行功能演示</w:t>
                  </w:r>
                  <w:r>
                    <w:rPr>
                      <w:rFonts w:ascii="仿宋_GB2312" w:hAnsi="仿宋_GB2312" w:cs="仿宋_GB2312" w:eastAsia="仿宋_GB2312"/>
                      <w:sz w:val="21"/>
                    </w:rPr>
                    <w:t>）</w:t>
                  </w:r>
                </w:p>
              </w:tc>
              <w:tc>
                <w:tcPr>
                  <w:tcW w:type="dxa" w:w="447"/>
                  <w:vMerge/>
                  <w:tcBorders>
                    <w:top w:val="none" w:color="000000" w:sz="4"/>
                    <w:left w:val="none" w:color="000000" w:sz="4"/>
                    <w:bottom w:val="single" w:color="000000" w:sz="4"/>
                    <w:right w:val="single" w:color="000000" w:sz="4"/>
                  </w:tcBorders>
                </w:tcPr>
                <w:p/>
              </w:tc>
            </w:tr>
            <w:tr>
              <w:tc>
                <w:tcPr>
                  <w:tcW w:type="dxa" w:w="239"/>
                  <w:vMerge/>
                  <w:tcBorders>
                    <w:top w:val="none" w:color="000000" w:sz="4"/>
                    <w:left w:val="single" w:color="000000" w:sz="4"/>
                    <w:bottom w:val="single" w:color="000000" w:sz="4"/>
                    <w:right w:val="single" w:color="000000" w:sz="4"/>
                  </w:tcBorders>
                </w:tcPr>
                <w:p/>
              </w:tc>
              <w:tc>
                <w:tcPr>
                  <w:tcW w:type="dxa" w:w="208"/>
                  <w:vMerge/>
                  <w:tcBorders>
                    <w:top w:val="none" w:color="000000" w:sz="4"/>
                    <w:left w:val="none" w:color="000000" w:sz="4"/>
                    <w:bottom w:val="single" w:color="000000" w:sz="4"/>
                    <w:right w:val="single" w:color="000000" w:sz="4"/>
                  </w:tcBorders>
                </w:tcPr>
                <w:p/>
              </w:tc>
              <w:tc>
                <w:tcPr>
                  <w:tcW w:type="dxa" w:w="2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主机进程管理</w:t>
                  </w:r>
                </w:p>
              </w:tc>
              <w:tc>
                <w:tcPr>
                  <w:tcW w:type="dxa" w:w="1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支持通过进程名称、进程文件属性、进程文件</w:t>
                  </w:r>
                  <w:r>
                    <w:rPr>
                      <w:rFonts w:ascii="仿宋_GB2312" w:hAnsi="仿宋_GB2312" w:cs="仿宋_GB2312" w:eastAsia="仿宋_GB2312"/>
                      <w:sz w:val="21"/>
                    </w:rPr>
                    <w:t>CRC值、进程文件MD5值、软件名称、目录名称、进程签名等方式对进程黑白名单管理；对进程运行状态进行监视</w:t>
                  </w:r>
                </w:p>
              </w:tc>
              <w:tc>
                <w:tcPr>
                  <w:tcW w:type="dxa" w:w="447"/>
                  <w:vMerge/>
                  <w:tcBorders>
                    <w:top w:val="none" w:color="000000" w:sz="4"/>
                    <w:left w:val="none" w:color="000000" w:sz="4"/>
                    <w:bottom w:val="single" w:color="000000" w:sz="4"/>
                    <w:right w:val="single" w:color="000000" w:sz="4"/>
                  </w:tcBorders>
                </w:tcPr>
                <w:p/>
              </w:tc>
            </w:tr>
            <w:tr>
              <w:tc>
                <w:tcPr>
                  <w:tcW w:type="dxa" w:w="239"/>
                  <w:vMerge/>
                  <w:tcBorders>
                    <w:top w:val="none" w:color="000000" w:sz="4"/>
                    <w:left w:val="single" w:color="000000" w:sz="4"/>
                    <w:bottom w:val="single" w:color="000000" w:sz="4"/>
                    <w:right w:val="single" w:color="000000" w:sz="4"/>
                  </w:tcBorders>
                </w:tcPr>
                <w:p/>
              </w:tc>
              <w:tc>
                <w:tcPr>
                  <w:tcW w:type="dxa" w:w="208"/>
                  <w:vMerge/>
                  <w:tcBorders>
                    <w:top w:val="none" w:color="000000" w:sz="4"/>
                    <w:left w:val="none" w:color="000000" w:sz="4"/>
                    <w:bottom w:val="single" w:color="000000" w:sz="4"/>
                    <w:right w:val="single" w:color="000000" w:sz="4"/>
                  </w:tcBorders>
                </w:tcPr>
                <w:p/>
              </w:tc>
              <w:tc>
                <w:tcPr>
                  <w:tcW w:type="dxa" w:w="29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windows本地安全策略</w:t>
                  </w:r>
                </w:p>
              </w:tc>
              <w:tc>
                <w:tcPr>
                  <w:tcW w:type="dxa" w:w="1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支持禁止修改注册表、禁止修改网络属性、禁止设置</w:t>
                  </w:r>
                  <w:r>
                    <w:rPr>
                      <w:rFonts w:ascii="仿宋_GB2312" w:hAnsi="仿宋_GB2312" w:cs="仿宋_GB2312" w:eastAsia="仿宋_GB2312"/>
                      <w:sz w:val="21"/>
                    </w:rPr>
                    <w:t>TCP/IP属性、禁止设置固定IP等</w:t>
                  </w:r>
                </w:p>
              </w:tc>
              <w:tc>
                <w:tcPr>
                  <w:tcW w:type="dxa" w:w="447"/>
                  <w:vMerge/>
                  <w:tcBorders>
                    <w:top w:val="none" w:color="000000" w:sz="4"/>
                    <w:left w:val="none" w:color="000000" w:sz="4"/>
                    <w:bottom w:val="single" w:color="000000" w:sz="4"/>
                    <w:right w:val="single" w:color="000000" w:sz="4"/>
                  </w:tcBorders>
                </w:tcPr>
                <w:p/>
              </w:tc>
            </w:tr>
            <w:tr>
              <w:tc>
                <w:tcPr>
                  <w:tcW w:type="dxa" w:w="239"/>
                  <w:vMerge/>
                  <w:tcBorders>
                    <w:top w:val="none" w:color="000000" w:sz="4"/>
                    <w:left w:val="single" w:color="000000" w:sz="4"/>
                    <w:bottom w:val="single" w:color="000000" w:sz="4"/>
                    <w:right w:val="single" w:color="000000" w:sz="4"/>
                  </w:tcBorders>
                </w:tcPr>
                <w:p/>
              </w:tc>
              <w:tc>
                <w:tcPr>
                  <w:tcW w:type="dxa" w:w="208"/>
                  <w:vMerge/>
                  <w:tcBorders>
                    <w:top w:val="none" w:color="000000" w:sz="4"/>
                    <w:left w:val="none" w:color="000000" w:sz="4"/>
                    <w:bottom w:val="single" w:color="000000" w:sz="4"/>
                    <w:right w:val="single" w:color="000000" w:sz="4"/>
                  </w:tcBorders>
                </w:tcPr>
                <w:p/>
              </w:tc>
              <w:tc>
                <w:tcPr>
                  <w:tcW w:type="dxa" w:w="294"/>
                  <w:vMerge/>
                  <w:tcBorders>
                    <w:top w:val="none" w:color="000000" w:sz="4"/>
                    <w:left w:val="none" w:color="000000" w:sz="4"/>
                    <w:bottom w:val="single" w:color="000000" w:sz="4"/>
                    <w:right w:val="single" w:color="000000" w:sz="4"/>
                  </w:tcBorders>
                </w:tcPr>
                <w:p/>
              </w:tc>
              <w:tc>
                <w:tcPr>
                  <w:tcW w:type="dxa" w:w="1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支持对系统服务的启动类型进行设置</w:t>
                  </w:r>
                </w:p>
              </w:tc>
              <w:tc>
                <w:tcPr>
                  <w:tcW w:type="dxa" w:w="447"/>
                  <w:vMerge/>
                  <w:tcBorders>
                    <w:top w:val="none" w:color="000000" w:sz="4"/>
                    <w:left w:val="none" w:color="000000" w:sz="4"/>
                    <w:bottom w:val="single" w:color="000000" w:sz="4"/>
                    <w:right w:val="single" w:color="000000" w:sz="4"/>
                  </w:tcBorders>
                </w:tcPr>
                <w:p/>
              </w:tc>
            </w:tr>
            <w:tr>
              <w:tc>
                <w:tcPr>
                  <w:tcW w:type="dxa" w:w="44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b/>
                    </w:rPr>
                    <w:t>服务要求</w:t>
                  </w:r>
                </w:p>
              </w:tc>
              <w:tc>
                <w:tcPr>
                  <w:tcW w:type="dxa" w:w="2106"/>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both"/>
                  </w:pPr>
                  <w:r>
                    <w:rPr>
                      <w:rFonts w:ascii="仿宋_GB2312" w:hAnsi="仿宋_GB2312" w:cs="仿宋_GB2312" w:eastAsia="仿宋_GB2312"/>
                      <w:sz w:val="21"/>
                      <w:b/>
                    </w:rPr>
                    <w:t>所投产品均提供三年原厂质保服务和软件升级服务；</w:t>
                  </w:r>
                </w:p>
                <w:p>
                  <w:pPr>
                    <w:pStyle w:val="null3"/>
                    <w:numPr>
                      <w:ilvl w:val="0"/>
                      <w:numId w:val="1"/>
                    </w:numPr>
                    <w:jc w:val="both"/>
                  </w:pPr>
                  <w:r>
                    <w:rPr>
                      <w:rFonts w:ascii="仿宋_GB2312" w:hAnsi="仿宋_GB2312" w:cs="仿宋_GB2312" w:eastAsia="仿宋_GB2312"/>
                      <w:sz w:val="21"/>
                      <w:b/>
                    </w:rPr>
                    <w:t>所投产品须提供合法来源证明文件（包括但不限于厂家授权书、产品代理证或销售协议等）</w:t>
                  </w:r>
                </w:p>
                <w:p>
                  <w:pPr>
                    <w:pStyle w:val="null3"/>
                    <w:jc w:val="both"/>
                  </w:pPr>
                  <w:r>
                    <w:rPr>
                      <w:rFonts w:ascii="仿宋_GB2312" w:hAnsi="仿宋_GB2312" w:cs="仿宋_GB2312" w:eastAsia="仿宋_GB2312"/>
                      <w:sz w:val="21"/>
                    </w:rPr>
                    <w:t>3、合同签订后一个月内完成设备供货与系统部署，部署阶段须安排不少于 5 名技术人员驻场实施；</w:t>
                  </w:r>
                </w:p>
                <w:p>
                  <w:pPr>
                    <w:pStyle w:val="null3"/>
                    <w:jc w:val="both"/>
                  </w:pPr>
                  <w:r>
                    <w:rPr>
                      <w:rFonts w:ascii="仿宋_GB2312" w:hAnsi="仿宋_GB2312" w:cs="仿宋_GB2312" w:eastAsia="仿宋_GB2312"/>
                      <w:sz w:val="21"/>
                    </w:rPr>
                    <w:t>4、系统上线后进入为期 3 个月的试运行期，试运行期间须安排不少于 2 名技术人员驻场保障；若试运行期满未达到技术验收标准，或系统无法持续稳定运行，试运行期限相应顺延。</w:t>
                  </w:r>
                </w:p>
              </w:tc>
            </w:tr>
          </w:tbl>
          <w:p>
            <w:pPr>
              <w:pStyle w:val="null3"/>
              <w:jc w:val="center"/>
            </w:pPr>
            <w:r>
              <w:rPr>
                <w:rFonts w:ascii="仿宋_GB2312" w:hAnsi="仿宋_GB2312" w:cs="仿宋_GB2312" w:eastAsia="仿宋_GB2312"/>
                <w:sz w:val="28"/>
                <w:b/>
              </w:rPr>
              <w:t>漏洞屏蔽系统</w:t>
            </w:r>
          </w:p>
          <w:tbl>
            <w:tblPr>
              <w:tblBorders>
                <w:top w:val="none" w:color="000000" w:sz="4"/>
                <w:left w:val="none" w:color="000000" w:sz="4"/>
                <w:bottom w:val="none" w:color="000000" w:sz="4"/>
                <w:right w:val="none" w:color="000000" w:sz="4"/>
                <w:insideH w:val="none"/>
                <w:insideV w:val="none"/>
              </w:tblBorders>
            </w:tblPr>
            <w:tblGrid>
              <w:gridCol w:w="371"/>
              <w:gridCol w:w="2177"/>
            </w:tblGrid>
            <w:tr>
              <w:tc>
                <w:tcPr>
                  <w:tcW w:type="dxa" w:w="37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10101"/>
                    </w:rPr>
                    <w:t>硬件规格</w:t>
                  </w:r>
                </w:p>
              </w:tc>
              <w:tc>
                <w:tcPr>
                  <w:tcW w:type="dxa" w:w="217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10101"/>
                    </w:rPr>
                    <w:t>吞吐量</w:t>
                  </w:r>
                  <w:r>
                    <w:rPr>
                      <w:rFonts w:ascii="仿宋_GB2312" w:hAnsi="仿宋_GB2312" w:cs="仿宋_GB2312" w:eastAsia="仿宋_GB2312"/>
                      <w:sz w:val="21"/>
                      <w:color w:val="010101"/>
                    </w:rPr>
                    <w:t>≧</w:t>
                  </w:r>
                  <w:r>
                    <w:rPr>
                      <w:rFonts w:ascii="仿宋_GB2312" w:hAnsi="仿宋_GB2312" w:cs="仿宋_GB2312" w:eastAsia="仿宋_GB2312"/>
                      <w:sz w:val="21"/>
                      <w:color w:val="010101"/>
                    </w:rPr>
                    <w:t>3Gbps</w:t>
                  </w:r>
                </w:p>
                <w:p>
                  <w:pPr>
                    <w:pStyle w:val="null3"/>
                    <w:jc w:val="both"/>
                  </w:pPr>
                  <w:r>
                    <w:rPr>
                      <w:rFonts w:ascii="仿宋_GB2312" w:hAnsi="仿宋_GB2312" w:cs="仿宋_GB2312" w:eastAsia="仿宋_GB2312"/>
                      <w:sz w:val="21"/>
                      <w:color w:val="010101"/>
                    </w:rPr>
                    <w:t>面板接口：</w:t>
                  </w: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个千兆电口、</w:t>
                  </w: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个千兆光口、</w:t>
                  </w: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个万兆光口、</w:t>
                  </w:r>
                  <w:r>
                    <w:rPr>
                      <w:rFonts w:ascii="仿宋_GB2312" w:hAnsi="仿宋_GB2312" w:cs="仿宋_GB2312" w:eastAsia="仿宋_GB2312"/>
                      <w:sz w:val="21"/>
                    </w:rPr>
                    <w:t>≧</w:t>
                  </w:r>
                  <w:r>
                    <w:rPr>
                      <w:rFonts w:ascii="仿宋_GB2312" w:hAnsi="仿宋_GB2312" w:cs="仿宋_GB2312" w:eastAsia="仿宋_GB2312"/>
                      <w:sz w:val="21"/>
                      <w:color w:val="010101"/>
                    </w:rPr>
                    <w:t>2个USB接口、</w:t>
                  </w:r>
                  <w:r>
                    <w:rPr>
                      <w:rFonts w:ascii="仿宋_GB2312" w:hAnsi="仿宋_GB2312" w:cs="仿宋_GB2312" w:eastAsia="仿宋_GB2312"/>
                      <w:sz w:val="21"/>
                    </w:rPr>
                    <w:t>≧</w:t>
                  </w:r>
                  <w:r>
                    <w:rPr>
                      <w:rFonts w:ascii="仿宋_GB2312" w:hAnsi="仿宋_GB2312" w:cs="仿宋_GB2312" w:eastAsia="仿宋_GB2312"/>
                      <w:sz w:val="21"/>
                      <w:color w:val="010101"/>
                    </w:rPr>
                    <w:t>1个RJ45串口</w:t>
                  </w:r>
                  <w:r>
                    <w:rPr>
                      <w:rFonts w:ascii="仿宋_GB2312" w:hAnsi="仿宋_GB2312" w:cs="仿宋_GB2312" w:eastAsia="仿宋_GB2312"/>
                      <w:sz w:val="21"/>
                      <w:color w:val="010101"/>
                    </w:rPr>
                    <w:t>。</w:t>
                  </w:r>
                </w:p>
                <w:p>
                  <w:pPr>
                    <w:pStyle w:val="null3"/>
                    <w:jc w:val="both"/>
                  </w:pPr>
                  <w:r>
                    <w:rPr>
                      <w:rFonts w:ascii="仿宋_GB2312" w:hAnsi="仿宋_GB2312" w:cs="仿宋_GB2312" w:eastAsia="仿宋_GB2312"/>
                      <w:sz w:val="21"/>
                      <w:color w:val="010101"/>
                    </w:rPr>
                    <w:t>硬盘容量</w:t>
                  </w:r>
                  <w:r>
                    <w:rPr>
                      <w:rFonts w:ascii="仿宋_GB2312" w:hAnsi="仿宋_GB2312" w:cs="仿宋_GB2312" w:eastAsia="仿宋_GB2312"/>
                      <w:sz w:val="21"/>
                      <w:color w:val="010101"/>
                    </w:rPr>
                    <w:t>≧</w:t>
                  </w:r>
                  <w:r>
                    <w:rPr>
                      <w:rFonts w:ascii="仿宋_GB2312" w:hAnsi="仿宋_GB2312" w:cs="仿宋_GB2312" w:eastAsia="仿宋_GB2312"/>
                      <w:sz w:val="21"/>
                      <w:color w:val="010101"/>
                    </w:rPr>
                    <w:t>2TB</w:t>
                  </w:r>
                </w:p>
              </w:tc>
            </w:tr>
            <w:tr>
              <w:tc>
                <w:tcPr>
                  <w:tcW w:type="dxa" w:w="3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10101"/>
                    </w:rPr>
                    <w:t>国产化</w:t>
                  </w:r>
                </w:p>
              </w:tc>
              <w:tc>
                <w:tcPr>
                  <w:tcW w:type="dxa" w:w="2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系统使用国产化操作系统（麒麟</w:t>
                  </w:r>
                  <w:r>
                    <w:rPr>
                      <w:rFonts w:ascii="仿宋_GB2312" w:hAnsi="仿宋_GB2312" w:cs="仿宋_GB2312" w:eastAsia="仿宋_GB2312"/>
                      <w:sz w:val="21"/>
                      <w:color w:val="000000"/>
                    </w:rPr>
                    <w:t>v10或其他）和CPU架构（海光、鲲鹏等）</w:t>
                  </w:r>
                </w:p>
              </w:tc>
            </w:tr>
            <w:tr>
              <w:tc>
                <w:tcPr>
                  <w:tcW w:type="dxa" w:w="3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10101"/>
                    </w:rPr>
                    <w:t>部署架构</w:t>
                  </w:r>
                </w:p>
              </w:tc>
              <w:tc>
                <w:tcPr>
                  <w:tcW w:type="dxa" w:w="2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支持软硬件一体化部署交付，采用旁路镜像流量模式部署，不能影响网络结构</w:t>
                  </w:r>
                </w:p>
              </w:tc>
            </w:tr>
            <w:tr>
              <w:tc>
                <w:tcPr>
                  <w:tcW w:type="dxa" w:w="37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10101"/>
                    </w:rPr>
                    <w:t>漏洞智能分析</w:t>
                  </w:r>
                </w:p>
              </w:tc>
              <w:tc>
                <w:tcPr>
                  <w:tcW w:type="dxa" w:w="2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10101"/>
                    </w:rPr>
                    <w:t>支持导入漏洞扫描报告结果数据不少于</w:t>
                  </w:r>
                  <w:r>
                    <w:rPr>
                      <w:rFonts w:ascii="仿宋_GB2312" w:hAnsi="仿宋_GB2312" w:cs="仿宋_GB2312" w:eastAsia="仿宋_GB2312"/>
                      <w:sz w:val="21"/>
                      <w:color w:val="010101"/>
                    </w:rPr>
                    <w:t>6家，支持漏扫厂商至少包括绿盟、长亭、安恒、华三、青藤</w:t>
                  </w:r>
                  <w:r>
                    <w:rPr>
                      <w:rFonts w:ascii="仿宋_GB2312" w:hAnsi="仿宋_GB2312" w:cs="仿宋_GB2312" w:eastAsia="仿宋_GB2312"/>
                      <w:sz w:val="21"/>
                    </w:rPr>
                    <w:t>、</w:t>
                  </w:r>
                  <w:r>
                    <w:rPr>
                      <w:rFonts w:ascii="仿宋_GB2312" w:hAnsi="仿宋_GB2312" w:cs="仿宋_GB2312" w:eastAsia="仿宋_GB2312"/>
                      <w:sz w:val="21"/>
                    </w:rPr>
                    <w:t>深信服</w:t>
                  </w:r>
                  <w:r>
                    <w:rPr>
                      <w:rFonts w:ascii="仿宋_GB2312" w:hAnsi="仿宋_GB2312" w:cs="仿宋_GB2312" w:eastAsia="仿宋_GB2312"/>
                      <w:sz w:val="21"/>
                      <w:color w:val="010101"/>
                    </w:rPr>
                    <w:t>等，且支持通过内置</w:t>
                  </w:r>
                  <w:r>
                    <w:rPr>
                      <w:rFonts w:ascii="仿宋_GB2312" w:hAnsi="仿宋_GB2312" w:cs="仿宋_GB2312" w:eastAsia="仿宋_GB2312"/>
                      <w:sz w:val="21"/>
                      <w:color w:val="010101"/>
                    </w:rPr>
                    <w:t>模板</w:t>
                  </w:r>
                  <w:r>
                    <w:rPr>
                      <w:rFonts w:ascii="仿宋_GB2312" w:hAnsi="仿宋_GB2312" w:cs="仿宋_GB2312" w:eastAsia="仿宋_GB2312"/>
                      <w:sz w:val="21"/>
                      <w:color w:val="010101"/>
                    </w:rPr>
                    <w:t>导入其他品牌漏扫信息。</w:t>
                  </w:r>
                </w:p>
              </w:tc>
            </w:tr>
            <w:tr>
              <w:tc>
                <w:tcPr>
                  <w:tcW w:type="dxa" w:w="371"/>
                  <w:vMerge/>
                  <w:tcBorders>
                    <w:top w:val="none" w:color="000000" w:sz="4"/>
                    <w:left w:val="single" w:color="000000" w:sz="4"/>
                    <w:bottom w:val="single" w:color="000000" w:sz="4"/>
                    <w:right w:val="single" w:color="000000" w:sz="4"/>
                  </w:tcBorders>
                </w:tcPr>
                <w:p/>
              </w:tc>
              <w:tc>
                <w:tcPr>
                  <w:tcW w:type="dxa" w:w="2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10101"/>
                    </w:rPr>
                    <w:t>支持自动学习网络流量，快速识别待防护目标主机。</w:t>
                  </w:r>
                </w:p>
              </w:tc>
            </w:tr>
            <w:tr>
              <w:tc>
                <w:tcPr>
                  <w:tcW w:type="dxa" w:w="37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10101"/>
                    </w:rPr>
                    <w:t>漏洞防护</w:t>
                  </w:r>
                </w:p>
              </w:tc>
              <w:tc>
                <w:tcPr>
                  <w:tcW w:type="dxa" w:w="2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10101"/>
                    </w:rPr>
                    <w:t>支持对网络流量中包括远程命令执行漏洞、反序列化漏洞、任意文件上传漏洞、未授权访问漏洞、</w:t>
                  </w:r>
                  <w:r>
                    <w:rPr>
                      <w:rFonts w:ascii="仿宋_GB2312" w:hAnsi="仿宋_GB2312" w:cs="仿宋_GB2312" w:eastAsia="仿宋_GB2312"/>
                      <w:sz w:val="21"/>
                      <w:color w:val="010101"/>
                    </w:rPr>
                    <w:t>sql注入漏洞、模板注入漏洞、任意文件读取漏洞、目录遍历漏洞、文件包含漏洞、远程代码执行漏洞、信息泄露漏洞、硬编码漏洞、XXE漏洞等漏洞攻击等漏洞利用行为进行防护</w:t>
                  </w:r>
                </w:p>
              </w:tc>
            </w:tr>
            <w:tr>
              <w:tc>
                <w:tcPr>
                  <w:tcW w:type="dxa" w:w="371"/>
                  <w:vMerge/>
                  <w:tcBorders>
                    <w:top w:val="none" w:color="000000" w:sz="4"/>
                    <w:left w:val="single" w:color="000000" w:sz="4"/>
                    <w:bottom w:val="single" w:color="000000" w:sz="4"/>
                    <w:right w:val="single" w:color="000000" w:sz="4"/>
                  </w:tcBorders>
                </w:tcPr>
                <w:p/>
              </w:tc>
              <w:tc>
                <w:tcPr>
                  <w:tcW w:type="dxa" w:w="2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10101"/>
                    </w:rPr>
                    <w:t>支持一键开启漏洞屏蔽策略，支持针对不同主机用不同的屏蔽策略，并支持灵活调整屏蔽的策略，设置是否拦截漏洞攻击，也可对应设置屏蔽白名单，放行正常业务。</w:t>
                  </w:r>
                </w:p>
              </w:tc>
            </w:tr>
            <w:tr>
              <w:tc>
                <w:tcPr>
                  <w:tcW w:type="dxa" w:w="371"/>
                  <w:vMerge/>
                  <w:tcBorders>
                    <w:top w:val="none" w:color="000000" w:sz="4"/>
                    <w:left w:val="single" w:color="000000" w:sz="4"/>
                    <w:bottom w:val="single" w:color="000000" w:sz="4"/>
                    <w:right w:val="single" w:color="000000" w:sz="4"/>
                  </w:tcBorders>
                </w:tcPr>
                <w:p/>
              </w:tc>
              <w:tc>
                <w:tcPr>
                  <w:tcW w:type="dxa" w:w="2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10101"/>
                    </w:rPr>
                    <w:t>可实时展示拦截的漏洞攻击告警，告警信息支持一键设置屏蔽和忽略告警的操作</w:t>
                  </w:r>
                </w:p>
              </w:tc>
            </w:tr>
            <w:tr>
              <w:tc>
                <w:tcPr>
                  <w:tcW w:type="dxa" w:w="37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10101"/>
                    </w:rPr>
                    <w:t>屏蔽增强</w:t>
                  </w:r>
                </w:p>
              </w:tc>
              <w:tc>
                <w:tcPr>
                  <w:tcW w:type="dxa" w:w="2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10101"/>
                    </w:rPr>
                    <w:t>支持漏送扫描行为检测</w:t>
                  </w:r>
                  <w:r>
                    <w:rPr>
                      <w:rFonts w:ascii="仿宋_GB2312" w:hAnsi="仿宋_GB2312" w:cs="仿宋_GB2312" w:eastAsia="仿宋_GB2312"/>
                      <w:sz w:val="21"/>
                      <w:color w:val="010101"/>
                    </w:rPr>
                    <w:t>，并进行相应屏蔽和告警，支持阻断模式和仅告警模式两种</w:t>
                  </w:r>
                </w:p>
              </w:tc>
            </w:tr>
            <w:tr>
              <w:tc>
                <w:tcPr>
                  <w:tcW w:type="dxa" w:w="371"/>
                  <w:vMerge/>
                  <w:tcBorders>
                    <w:top w:val="none" w:color="000000" w:sz="4"/>
                    <w:left w:val="single" w:color="000000" w:sz="4"/>
                    <w:bottom w:val="single" w:color="000000" w:sz="4"/>
                    <w:right w:val="single" w:color="000000" w:sz="4"/>
                  </w:tcBorders>
                </w:tcPr>
                <w:p/>
              </w:tc>
              <w:tc>
                <w:tcPr>
                  <w:tcW w:type="dxa" w:w="2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10101"/>
                    </w:rPr>
                    <w:t>支持检测标准</w:t>
                  </w:r>
                  <w:r>
                    <w:rPr>
                      <w:rFonts w:ascii="仿宋_GB2312" w:hAnsi="仿宋_GB2312" w:cs="仿宋_GB2312" w:eastAsia="仿宋_GB2312"/>
                      <w:sz w:val="21"/>
                      <w:color w:val="010101"/>
                    </w:rPr>
                    <w:t>HTTPS协议定向扫描行为的识别和防护</w:t>
                  </w:r>
                  <w:r>
                    <w:rPr>
                      <w:rFonts w:ascii="仿宋_GB2312" w:hAnsi="仿宋_GB2312" w:cs="仿宋_GB2312" w:eastAsia="仿宋_GB2312"/>
                      <w:sz w:val="21"/>
                      <w:color w:val="010101"/>
                    </w:rPr>
                    <w:t>（</w:t>
                  </w:r>
                  <w:r>
                    <w:rPr>
                      <w:rFonts w:ascii="仿宋_GB2312" w:hAnsi="仿宋_GB2312" w:cs="仿宋_GB2312" w:eastAsia="仿宋_GB2312"/>
                      <w:sz w:val="21"/>
                      <w:b/>
                      <w:color w:val="010101"/>
                    </w:rPr>
                    <w:t>须进行功能演示</w:t>
                  </w:r>
                  <w:r>
                    <w:rPr>
                      <w:rFonts w:ascii="仿宋_GB2312" w:hAnsi="仿宋_GB2312" w:cs="仿宋_GB2312" w:eastAsia="仿宋_GB2312"/>
                      <w:sz w:val="21"/>
                      <w:color w:val="010101"/>
                    </w:rPr>
                    <w:t>）</w:t>
                  </w:r>
                </w:p>
              </w:tc>
            </w:tr>
            <w:tr>
              <w:tc>
                <w:tcPr>
                  <w:tcW w:type="dxa" w:w="371"/>
                  <w:vMerge/>
                  <w:tcBorders>
                    <w:top w:val="none" w:color="000000" w:sz="4"/>
                    <w:left w:val="single" w:color="000000" w:sz="4"/>
                    <w:bottom w:val="single" w:color="000000" w:sz="4"/>
                    <w:right w:val="single" w:color="000000" w:sz="4"/>
                  </w:tcBorders>
                </w:tcPr>
                <w:p/>
              </w:tc>
              <w:tc>
                <w:tcPr>
                  <w:tcW w:type="dxa" w:w="2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10101"/>
                    </w:rPr>
                    <w:t>支持业务自学习，降低业务的误报率；支持手动开启或关闭该学习功能；</w:t>
                  </w:r>
                </w:p>
                <w:p>
                  <w:pPr>
                    <w:pStyle w:val="null3"/>
                    <w:jc w:val="left"/>
                  </w:pPr>
                  <w:r>
                    <w:rPr>
                      <w:rFonts w:ascii="仿宋_GB2312" w:hAnsi="仿宋_GB2312" w:cs="仿宋_GB2312" w:eastAsia="仿宋_GB2312"/>
                      <w:sz w:val="21"/>
                      <w:color w:val="010101"/>
                    </w:rPr>
                    <w:t>支持协议欺骗配置</w:t>
                  </w:r>
                  <w:r>
                    <w:rPr>
                      <w:rFonts w:ascii="仿宋_GB2312" w:hAnsi="仿宋_GB2312" w:cs="仿宋_GB2312" w:eastAsia="仿宋_GB2312"/>
                      <w:sz w:val="21"/>
                      <w:color w:val="000000"/>
                    </w:rPr>
                    <w:t>。</w:t>
                  </w:r>
                  <w:r>
                    <w:rPr>
                      <w:rFonts w:ascii="仿宋_GB2312" w:hAnsi="仿宋_GB2312" w:cs="仿宋_GB2312" w:eastAsia="仿宋_GB2312"/>
                      <w:sz w:val="21"/>
                      <w:color w:val="010101"/>
                    </w:rPr>
                    <w:t>（</w:t>
                  </w:r>
                  <w:r>
                    <w:rPr>
                      <w:rFonts w:ascii="仿宋_GB2312" w:hAnsi="仿宋_GB2312" w:cs="仿宋_GB2312" w:eastAsia="仿宋_GB2312"/>
                      <w:sz w:val="21"/>
                      <w:b/>
                      <w:color w:val="010101"/>
                    </w:rPr>
                    <w:t>须进行功能演示</w:t>
                  </w:r>
                  <w:r>
                    <w:rPr>
                      <w:rFonts w:ascii="仿宋_GB2312" w:hAnsi="仿宋_GB2312" w:cs="仿宋_GB2312" w:eastAsia="仿宋_GB2312"/>
                      <w:sz w:val="21"/>
                      <w:color w:val="010101"/>
                    </w:rPr>
                    <w:t>）</w:t>
                  </w:r>
                </w:p>
              </w:tc>
            </w:tr>
            <w:tr>
              <w:tc>
                <w:tcPr>
                  <w:tcW w:type="dxa" w:w="371"/>
                  <w:vMerge/>
                  <w:tcBorders>
                    <w:top w:val="none" w:color="000000" w:sz="4"/>
                    <w:left w:val="single" w:color="000000" w:sz="4"/>
                    <w:bottom w:val="single" w:color="000000" w:sz="4"/>
                    <w:right w:val="single" w:color="000000" w:sz="4"/>
                  </w:tcBorders>
                </w:tcPr>
                <w:p/>
              </w:tc>
              <w:tc>
                <w:tcPr>
                  <w:tcW w:type="dxa" w:w="2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10101"/>
                    </w:rPr>
                    <w:t>可根据用户实际需求，设置强力阻断或者宽松阻断</w:t>
                  </w:r>
                  <w:r>
                    <w:rPr>
                      <w:rFonts w:ascii="仿宋_GB2312" w:hAnsi="仿宋_GB2312" w:cs="仿宋_GB2312" w:eastAsia="仿宋_GB2312"/>
                      <w:sz w:val="21"/>
                      <w:color w:val="010101"/>
                    </w:rPr>
                    <w:t>（</w:t>
                  </w:r>
                  <w:r>
                    <w:rPr>
                      <w:rFonts w:ascii="仿宋_GB2312" w:hAnsi="仿宋_GB2312" w:cs="仿宋_GB2312" w:eastAsia="仿宋_GB2312"/>
                      <w:sz w:val="21"/>
                      <w:b/>
                      <w:color w:val="010101"/>
                    </w:rPr>
                    <w:t>须进行功能演示</w:t>
                  </w:r>
                  <w:r>
                    <w:rPr>
                      <w:rFonts w:ascii="仿宋_GB2312" w:hAnsi="仿宋_GB2312" w:cs="仿宋_GB2312" w:eastAsia="仿宋_GB2312"/>
                      <w:sz w:val="21"/>
                      <w:color w:val="010101"/>
                    </w:rPr>
                    <w:t>）</w:t>
                  </w:r>
                </w:p>
              </w:tc>
            </w:tr>
            <w:tr>
              <w:tc>
                <w:tcPr>
                  <w:tcW w:type="dxa" w:w="371"/>
                  <w:vMerge/>
                  <w:tcBorders>
                    <w:top w:val="none" w:color="000000" w:sz="4"/>
                    <w:left w:val="single" w:color="000000" w:sz="4"/>
                    <w:bottom w:val="single" w:color="000000" w:sz="4"/>
                    <w:right w:val="single" w:color="000000" w:sz="4"/>
                  </w:tcBorders>
                </w:tcPr>
                <w:p/>
              </w:tc>
              <w:tc>
                <w:tcPr>
                  <w:tcW w:type="dxa" w:w="2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10101"/>
                    </w:rPr>
                    <w:t>支持对</w:t>
                  </w:r>
                  <w:r>
                    <w:rPr>
                      <w:rFonts w:ascii="仿宋_GB2312" w:hAnsi="仿宋_GB2312" w:cs="仿宋_GB2312" w:eastAsia="仿宋_GB2312"/>
                      <w:sz w:val="21"/>
                      <w:color w:val="010101"/>
                    </w:rPr>
                    <w:t>UDP协议的漏洞扫描流量进行防护</w:t>
                  </w:r>
                  <w:r>
                    <w:rPr>
                      <w:rFonts w:ascii="仿宋_GB2312" w:hAnsi="仿宋_GB2312" w:cs="仿宋_GB2312" w:eastAsia="仿宋_GB2312"/>
                      <w:sz w:val="21"/>
                      <w:color w:val="010101"/>
                    </w:rPr>
                    <w:t>（</w:t>
                  </w:r>
                  <w:r>
                    <w:rPr>
                      <w:rFonts w:ascii="仿宋_GB2312" w:hAnsi="仿宋_GB2312" w:cs="仿宋_GB2312" w:eastAsia="仿宋_GB2312"/>
                      <w:sz w:val="21"/>
                      <w:b/>
                      <w:color w:val="010101"/>
                    </w:rPr>
                    <w:t>须进行功能演示</w:t>
                  </w:r>
                  <w:r>
                    <w:rPr>
                      <w:rFonts w:ascii="仿宋_GB2312" w:hAnsi="仿宋_GB2312" w:cs="仿宋_GB2312" w:eastAsia="仿宋_GB2312"/>
                      <w:sz w:val="21"/>
                      <w:color w:val="010101"/>
                    </w:rPr>
                    <w:t>）</w:t>
                  </w:r>
                </w:p>
              </w:tc>
            </w:tr>
            <w:tr>
              <w:tc>
                <w:tcPr>
                  <w:tcW w:type="dxa" w:w="37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10101"/>
                    </w:rPr>
                    <w:t>网络配置</w:t>
                  </w:r>
                </w:p>
              </w:tc>
              <w:tc>
                <w:tcPr>
                  <w:tcW w:type="dxa" w:w="2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10101"/>
                    </w:rPr>
                    <w:t>支持通过对网络接口进行编辑配置，其操作包括配置管理</w:t>
                  </w:r>
                  <w:r>
                    <w:rPr>
                      <w:rFonts w:ascii="仿宋_GB2312" w:hAnsi="仿宋_GB2312" w:cs="仿宋_GB2312" w:eastAsia="仿宋_GB2312"/>
                      <w:sz w:val="21"/>
                      <w:color w:val="010101"/>
                    </w:rPr>
                    <w:t>IP、设置阻断口/监听口；</w:t>
                  </w:r>
                </w:p>
              </w:tc>
            </w:tr>
            <w:tr>
              <w:tc>
                <w:tcPr>
                  <w:tcW w:type="dxa" w:w="371"/>
                  <w:vMerge/>
                  <w:tcBorders>
                    <w:top w:val="none" w:color="000000" w:sz="4"/>
                    <w:left w:val="single" w:color="000000" w:sz="4"/>
                    <w:bottom w:val="single" w:color="000000" w:sz="4"/>
                    <w:right w:val="single" w:color="000000" w:sz="4"/>
                  </w:tcBorders>
                </w:tcPr>
                <w:p/>
              </w:tc>
              <w:tc>
                <w:tcPr>
                  <w:tcW w:type="dxa" w:w="2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10101"/>
                    </w:rPr>
                    <w:t>能实现多路阻断，阻断口配置不少于</w:t>
                  </w:r>
                  <w:r>
                    <w:rPr>
                      <w:rFonts w:ascii="仿宋_GB2312" w:hAnsi="仿宋_GB2312" w:cs="仿宋_GB2312" w:eastAsia="仿宋_GB2312"/>
                      <w:sz w:val="21"/>
                      <w:color w:val="010101"/>
                    </w:rPr>
                    <w:t>3个，且阻断口支持配置阻断MAC地址，提升阻断性能。</w:t>
                  </w:r>
                  <w:r>
                    <w:rPr>
                      <w:rFonts w:ascii="仿宋_GB2312" w:hAnsi="仿宋_GB2312" w:cs="仿宋_GB2312" w:eastAsia="仿宋_GB2312"/>
                      <w:sz w:val="21"/>
                      <w:color w:val="010101"/>
                    </w:rPr>
                    <w:t>（</w:t>
                  </w:r>
                  <w:r>
                    <w:rPr>
                      <w:rFonts w:ascii="仿宋_GB2312" w:hAnsi="仿宋_GB2312" w:cs="仿宋_GB2312" w:eastAsia="仿宋_GB2312"/>
                      <w:sz w:val="21"/>
                      <w:b/>
                      <w:color w:val="010101"/>
                    </w:rPr>
                    <w:t>须进行功能演示</w:t>
                  </w:r>
                  <w:r>
                    <w:rPr>
                      <w:rFonts w:ascii="仿宋_GB2312" w:hAnsi="仿宋_GB2312" w:cs="仿宋_GB2312" w:eastAsia="仿宋_GB2312"/>
                      <w:sz w:val="21"/>
                      <w:color w:val="010101"/>
                    </w:rPr>
                    <w:t>）</w:t>
                  </w:r>
                </w:p>
              </w:tc>
            </w:tr>
            <w:tr>
              <w:tc>
                <w:tcPr>
                  <w:tcW w:type="dxa" w:w="3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10101"/>
                    </w:rPr>
                    <w:t>日志管理</w:t>
                  </w:r>
                </w:p>
              </w:tc>
              <w:tc>
                <w:tcPr>
                  <w:tcW w:type="dxa" w:w="2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10101"/>
                    </w:rPr>
                    <w:t>支持记录系统运行日志和操作日志</w:t>
                  </w:r>
                </w:p>
              </w:tc>
            </w:tr>
            <w:tr>
              <w:tc>
                <w:tcPr>
                  <w:tcW w:type="dxa" w:w="3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10101"/>
                    </w:rPr>
                    <w:t>系统对接与联动</w:t>
                  </w:r>
                </w:p>
              </w:tc>
              <w:tc>
                <w:tcPr>
                  <w:tcW w:type="dxa" w:w="2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10101"/>
                    </w:rPr>
                    <w:t>支持与我方主机安全平台</w:t>
                  </w:r>
                  <w:r>
                    <w:rPr>
                      <w:rFonts w:ascii="仿宋_GB2312" w:hAnsi="仿宋_GB2312" w:cs="仿宋_GB2312" w:eastAsia="仿宋_GB2312"/>
                      <w:sz w:val="21"/>
                      <w:color w:val="010101"/>
                    </w:rPr>
                    <w:t>HIDS进行联动，联动后可自动获取HIDS发现的漏洞信息（包括漏洞名称、编号、漏洞概述、影响主机范围）,并将漏洞结果同步到本平台，自动展示漏洞分析结果，用户可选择对展示的漏洞设置为屏蔽策略或告警策略。</w:t>
                  </w:r>
                </w:p>
              </w:tc>
            </w:tr>
            <w:tr>
              <w:tc>
                <w:tcPr>
                  <w:tcW w:type="dxa" w:w="37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10101"/>
                    </w:rPr>
                    <w:t>系统配置</w:t>
                  </w:r>
                </w:p>
              </w:tc>
              <w:tc>
                <w:tcPr>
                  <w:tcW w:type="dxa" w:w="2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10101"/>
                    </w:rPr>
                    <w:t>展示当前系统的概览信息，包含软件信息、硬件信息以及服务流量信息</w:t>
                  </w:r>
                </w:p>
              </w:tc>
            </w:tr>
            <w:tr>
              <w:tc>
                <w:tcPr>
                  <w:tcW w:type="dxa" w:w="371"/>
                  <w:vMerge/>
                  <w:tcBorders>
                    <w:top w:val="none" w:color="000000" w:sz="4"/>
                    <w:left w:val="single" w:color="000000" w:sz="4"/>
                    <w:bottom w:val="single" w:color="000000" w:sz="4"/>
                    <w:right w:val="single" w:color="000000" w:sz="4"/>
                  </w:tcBorders>
                </w:tcPr>
                <w:p/>
              </w:tc>
              <w:tc>
                <w:tcPr>
                  <w:tcW w:type="dxa" w:w="2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10101"/>
                    </w:rPr>
                    <w:t>支持恢复设备到出厂默认配置</w:t>
                  </w:r>
                </w:p>
              </w:tc>
            </w:tr>
            <w:tr>
              <w:tc>
                <w:tcPr>
                  <w:tcW w:type="dxa" w:w="371"/>
                  <w:vMerge/>
                  <w:tcBorders>
                    <w:top w:val="none" w:color="000000" w:sz="4"/>
                    <w:left w:val="single" w:color="000000" w:sz="4"/>
                    <w:bottom w:val="single" w:color="000000" w:sz="4"/>
                    <w:right w:val="single" w:color="000000" w:sz="4"/>
                  </w:tcBorders>
                </w:tcPr>
                <w:p/>
              </w:tc>
              <w:tc>
                <w:tcPr>
                  <w:tcW w:type="dxa" w:w="2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10101"/>
                    </w:rPr>
                    <w:t>系统初次登录强制要求修改</w:t>
                  </w:r>
                  <w:r>
                    <w:rPr>
                      <w:rFonts w:ascii="仿宋_GB2312" w:hAnsi="仿宋_GB2312" w:cs="仿宋_GB2312" w:eastAsia="仿宋_GB2312"/>
                      <w:sz w:val="21"/>
                      <w:color w:val="010101"/>
                    </w:rPr>
                    <w:t>web和SSH密码</w:t>
                  </w:r>
                </w:p>
              </w:tc>
            </w:tr>
            <w:tr>
              <w:tc>
                <w:tcPr>
                  <w:tcW w:type="dxa" w:w="371"/>
                  <w:vMerge/>
                  <w:tcBorders>
                    <w:top w:val="none" w:color="000000" w:sz="4"/>
                    <w:left w:val="single" w:color="000000" w:sz="4"/>
                    <w:bottom w:val="single" w:color="000000" w:sz="4"/>
                    <w:right w:val="single" w:color="000000" w:sz="4"/>
                  </w:tcBorders>
                </w:tcPr>
                <w:p/>
              </w:tc>
              <w:tc>
                <w:tcPr>
                  <w:tcW w:type="dxa" w:w="2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10101"/>
                    </w:rPr>
                    <w:t>支持将系统的配置导出为文件，并支持配置文件的导入，方便配置信息快速录入。</w:t>
                  </w:r>
                </w:p>
              </w:tc>
            </w:tr>
            <w:tr>
              <w:tc>
                <w:tcPr>
                  <w:tcW w:type="dxa" w:w="3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10101"/>
                    </w:rPr>
                    <w:t>权限管理</w:t>
                  </w:r>
                </w:p>
              </w:tc>
              <w:tc>
                <w:tcPr>
                  <w:tcW w:type="dxa" w:w="2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10101"/>
                    </w:rPr>
                    <w:t>支持三权分立，管理员，操作员，审计员。</w:t>
                  </w:r>
                </w:p>
              </w:tc>
            </w:tr>
            <w:tr>
              <w:tc>
                <w:tcPr>
                  <w:tcW w:type="dxa" w:w="3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10101"/>
                    </w:rPr>
                    <w:t>报表管理</w:t>
                  </w:r>
                </w:p>
              </w:tc>
              <w:tc>
                <w:tcPr>
                  <w:tcW w:type="dxa" w:w="2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10101"/>
                    </w:rPr>
                    <w:t>支持漏洞</w:t>
                  </w:r>
                  <w:r>
                    <w:rPr>
                      <w:rFonts w:ascii="仿宋_GB2312" w:hAnsi="仿宋_GB2312" w:cs="仿宋_GB2312" w:eastAsia="仿宋_GB2312"/>
                      <w:sz w:val="21"/>
                      <w:color w:val="010101"/>
                    </w:rPr>
                    <w:t>扫描</w:t>
                  </w:r>
                  <w:r>
                    <w:rPr>
                      <w:rFonts w:ascii="仿宋_GB2312" w:hAnsi="仿宋_GB2312" w:cs="仿宋_GB2312" w:eastAsia="仿宋_GB2312"/>
                      <w:sz w:val="21"/>
                      <w:color w:val="010101"/>
                    </w:rPr>
                    <w:t>攻击报表，综合报表，格式至少支持</w:t>
                  </w:r>
                  <w:r>
                    <w:rPr>
                      <w:rFonts w:ascii="仿宋_GB2312" w:hAnsi="仿宋_GB2312" w:cs="仿宋_GB2312" w:eastAsia="仿宋_GB2312"/>
                      <w:sz w:val="21"/>
                      <w:color w:val="010101"/>
                    </w:rPr>
                    <w:t>doc,html两种类型。</w:t>
                  </w:r>
                </w:p>
              </w:tc>
            </w:tr>
            <w:tr>
              <w:tc>
                <w:tcPr>
                  <w:tcW w:type="dxa" w:w="3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10101"/>
                    </w:rPr>
                    <w:t>服务要求</w:t>
                  </w:r>
                </w:p>
              </w:tc>
              <w:tc>
                <w:tcPr>
                  <w:tcW w:type="dxa" w:w="2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both"/>
                  </w:pPr>
                  <w:r>
                    <w:rPr>
                      <w:rFonts w:ascii="仿宋_GB2312" w:hAnsi="仿宋_GB2312" w:cs="仿宋_GB2312" w:eastAsia="仿宋_GB2312"/>
                      <w:sz w:val="21"/>
                      <w:b/>
                    </w:rPr>
                    <w:t>所投产品均提供三年原厂质保服务和软件升级服务；</w:t>
                  </w:r>
                </w:p>
                <w:p>
                  <w:pPr>
                    <w:pStyle w:val="null3"/>
                    <w:numPr>
                      <w:ilvl w:val="0"/>
                      <w:numId w:val="1"/>
                    </w:numPr>
                    <w:jc w:val="both"/>
                  </w:pPr>
                  <w:r>
                    <w:rPr>
                      <w:rFonts w:ascii="仿宋_GB2312" w:hAnsi="仿宋_GB2312" w:cs="仿宋_GB2312" w:eastAsia="仿宋_GB2312"/>
                      <w:sz w:val="21"/>
                      <w:b/>
                    </w:rPr>
                    <w:t>所投产品须提供合法来源证明文件（包括但不限于厂家授权书、产品代理证或销售协议等）</w:t>
                  </w:r>
                </w:p>
                <w:p>
                  <w:pPr>
                    <w:pStyle w:val="null3"/>
                    <w:jc w:val="both"/>
                  </w:pPr>
                  <w:r>
                    <w:rPr>
                      <w:rFonts w:ascii="仿宋_GB2312" w:hAnsi="仿宋_GB2312" w:cs="仿宋_GB2312" w:eastAsia="仿宋_GB2312"/>
                      <w:sz w:val="21"/>
                      <w:color w:val="010101"/>
                    </w:rPr>
                    <w:t>3、</w:t>
                  </w:r>
                  <w:r>
                    <w:rPr>
                      <w:rFonts w:ascii="仿宋_GB2312" w:hAnsi="仿宋_GB2312" w:cs="仿宋_GB2312" w:eastAsia="仿宋_GB2312"/>
                      <w:sz w:val="21"/>
                      <w:color w:val="010101"/>
                    </w:rPr>
                    <w:t>合同签订后一个月内完成设备供货与系统部署，部署阶段须安排不少于</w:t>
                  </w:r>
                  <w:r>
                    <w:rPr>
                      <w:rFonts w:ascii="仿宋_GB2312" w:hAnsi="仿宋_GB2312" w:cs="仿宋_GB2312" w:eastAsia="仿宋_GB2312"/>
                      <w:sz w:val="21"/>
                      <w:color w:val="010101"/>
                    </w:rPr>
                    <w:t>5 名技术人员驻场实施；</w:t>
                  </w:r>
                </w:p>
                <w:p>
                  <w:pPr>
                    <w:pStyle w:val="null3"/>
                    <w:jc w:val="both"/>
                  </w:pPr>
                  <w:r>
                    <w:rPr>
                      <w:rFonts w:ascii="仿宋_GB2312" w:hAnsi="仿宋_GB2312" w:cs="仿宋_GB2312" w:eastAsia="仿宋_GB2312"/>
                      <w:sz w:val="21"/>
                      <w:color w:val="010101"/>
                    </w:rPr>
                    <w:t>4、</w:t>
                  </w:r>
                  <w:r>
                    <w:rPr>
                      <w:rFonts w:ascii="仿宋_GB2312" w:hAnsi="仿宋_GB2312" w:cs="仿宋_GB2312" w:eastAsia="仿宋_GB2312"/>
                      <w:sz w:val="21"/>
                      <w:color w:val="010101"/>
                    </w:rPr>
                    <w:t>系统上线后进入为期</w:t>
                  </w:r>
                  <w:r>
                    <w:rPr>
                      <w:rFonts w:ascii="仿宋_GB2312" w:hAnsi="仿宋_GB2312" w:cs="仿宋_GB2312" w:eastAsia="仿宋_GB2312"/>
                      <w:sz w:val="21"/>
                      <w:color w:val="010101"/>
                    </w:rPr>
                    <w:t>3 个月的试运行期，试运行期间须安排不少于 2 名技术人员驻场保障；若试运行期满未达到技术验收标准，或系统无法持续稳定运行，试运行期限相应顺延。</w:t>
                  </w:r>
                </w:p>
              </w:tc>
            </w:tr>
          </w:tbl>
          <w:p>
            <w:pPr>
              <w:pStyle w:val="null3"/>
              <w:jc w:val="both"/>
            </w:pP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自合同签订之日起一个月</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甲方指定地点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预付款，合同签订后支付，达到付款条件起30个工作日内，支付合同总金额的30.0%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进度款，设备到货，初步验收合格，达到付款条件起30个工作日内，支付合同总金额的30.0%</w:t>
      </w:r>
    </w:p>
    <w:p>
      <w:pPr>
        <w:pStyle w:val="null3"/>
        <w:ind w:firstLine="1200"/>
      </w:pPr>
      <w:r>
        <w:rPr>
          <w:rFonts w:ascii="仿宋_GB2312" w:hAnsi="仿宋_GB2312" w:cs="仿宋_GB2312" w:eastAsia="仿宋_GB2312"/>
        </w:rPr>
        <w:t>3、</w:t>
      </w:r>
      <w:r>
        <w:rPr>
          <w:rFonts w:ascii="仿宋_GB2312" w:hAnsi="仿宋_GB2312" w:cs="仿宋_GB2312" w:eastAsia="仿宋_GB2312"/>
        </w:rPr>
        <w:t>其他，设备安装、调试、运行正常，经甲方使用部门技术验收通过，达到付款条件起30个工作日内，支付合同总金额的40.0%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设备到达用户指定地点后，采购方应在合理时间内组织与中标方共同开箱验货, 现场确认设备规格、型号等问题。货物经过验收后中标方可进行安装、调试，达到使用条件后，由采购方负责组织验收，或者邀请有关专家、质检机构等共同进行验收；通过验收的应填写验收表，并交接全部项目资料。验收以合同、招标文件、投标文件、证书、国家相应的标准、规范等为依据。</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乙方需提供三年原厂质保服务和软件升级服务。</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以最终签订合同为准</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供应商资质证明文件.docx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供应商资质证明文件.docx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无</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其他符合性审查</w:t>
            </w:r>
          </w:p>
        </w:tc>
        <w:tc>
          <w:tcPr>
            <w:tcW w:type="dxa" w:w="3322"/>
          </w:tcPr>
          <w:p>
            <w:pPr>
              <w:pStyle w:val="null3"/>
            </w:pPr>
            <w:r>
              <w:rPr>
                <w:rFonts w:ascii="仿宋_GB2312" w:hAnsi="仿宋_GB2312" w:cs="仿宋_GB2312" w:eastAsia="仿宋_GB2312"/>
              </w:rPr>
              <w:t>1、提供的资格证明文件是否符合国家法律法规和招标文件的要求，并且齐全、真实、有效； 2、投标文件是否按照招标文件要求的格式编写； 3、投标内容是否有重大缺漏项； 4、投标报价是否具有唯一性； 5、投标文件的签署、加盖印章是否合格、有效； 6、投标报价是否未超过采购预算； 7、投标文件是否响应了招标文件要 求的全部条款、条件和规格要求，并且提供了支持文件，没有重大偏离。</w:t>
            </w:r>
          </w:p>
        </w:tc>
        <w:tc>
          <w:tcPr>
            <w:tcW w:type="dxa" w:w="1661"/>
          </w:tcPr>
          <w:p>
            <w:pPr>
              <w:pStyle w:val="null3"/>
            </w:pPr>
            <w:r>
              <w:rPr>
                <w:rFonts w:ascii="仿宋_GB2312" w:hAnsi="仿宋_GB2312" w:cs="仿宋_GB2312" w:eastAsia="仿宋_GB2312"/>
              </w:rPr>
              <w:t>分项报价表.docx 技术偏离表.docx 投标函 投标文件封面 商务偏离表.docx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企业综合实力</w:t>
            </w:r>
          </w:p>
        </w:tc>
        <w:tc>
          <w:tcPr>
            <w:tcW w:type="dxa" w:w="2492"/>
          </w:tcPr>
          <w:p>
            <w:pPr>
              <w:pStyle w:val="null3"/>
            </w:pPr>
            <w:r>
              <w:rPr>
                <w:rFonts w:ascii="仿宋_GB2312" w:hAnsi="仿宋_GB2312" w:cs="仿宋_GB2312" w:eastAsia="仿宋_GB2312"/>
              </w:rPr>
              <w:t>1、投标人须具有电子与智能化工程专业承包二级及以上资质、并具有安全生产许可证，满足得3分，缺一项不得分； 2、投标人针对本项目的项目负责人须具备机电工程专业的二级建造师证书，提供得3分，不提供不得分；（须提供近半年的社保证明）</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技术参数指标评价</w:t>
            </w:r>
          </w:p>
        </w:tc>
        <w:tc>
          <w:tcPr>
            <w:tcW w:type="dxa" w:w="2492"/>
          </w:tcPr>
          <w:p>
            <w:pPr>
              <w:pStyle w:val="null3"/>
            </w:pPr>
            <w:r>
              <w:rPr>
                <w:rFonts w:ascii="仿宋_GB2312" w:hAnsi="仿宋_GB2312" w:cs="仿宋_GB2312" w:eastAsia="仿宋_GB2312"/>
              </w:rPr>
              <w:t>投标产品符合使用需求，配置完整合理，其型号、技术参数清晰明确，根据投标产品的技术指标和性能对招标文件的响应程度计分。全部满足参数要求得20分； 标“▲”为重要参数，不满足的一条扣2分； 备注：证明材料包括但不限于检测报告、厂家说明书等。</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功能演示</w:t>
            </w:r>
          </w:p>
        </w:tc>
        <w:tc>
          <w:tcPr>
            <w:tcW w:type="dxa" w:w="2492"/>
          </w:tcPr>
          <w:p>
            <w:pPr>
              <w:pStyle w:val="null3"/>
            </w:pPr>
            <w:r>
              <w:rPr>
                <w:rFonts w:ascii="仿宋_GB2312" w:hAnsi="仿宋_GB2312" w:cs="仿宋_GB2312" w:eastAsia="仿宋_GB2312"/>
              </w:rPr>
              <w:t>投标人须提供视频演示链接地址进行关键参数功能演示（视频不得超过10分钟），演示功能不完整、与投标文件不一致或演示视频超时等缺陷每一个扣2分，扣完为止。</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提供近三年（2023年1月1日-至今）类似项目业绩，每提供1份合同扫描件得2分，满分4分。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投标人针对本项目提供整体的实施方案、保证项目实施： 1、项目整体背景与服务范围理解； 2、项目整体服务目标与整体工作规划； 3、保障措施、重难点的处理措施及质量和进度措施； 4、培训实施计划、频次与开展形式。 备注：完整提供上述4项内容的得16分；每有一项未提供扣4分，扣完为止；每有一处有缺陷扣1分，扣完为止。 （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针对本项目提供售后服务方案： 1、售后服务响应时效承诺； 2、故障受理、远程+现场处置流程； 3、售后回访、问题闭环长效保障机制； 4、售后人员配备情况。 备注：完整提供上述3项内容的得4分；每有一项未提供扣1分，扣完为止；每有一处有缺陷扣0.5分，扣完为止。 （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投标价格得分</w:t>
            </w:r>
          </w:p>
        </w:tc>
        <w:tc>
          <w:tcPr>
            <w:tcW w:type="dxa" w:w="2492"/>
          </w:tcPr>
          <w:p>
            <w:pPr>
              <w:pStyle w:val="null3"/>
            </w:pPr>
            <w:r>
              <w:rPr>
                <w:rFonts w:ascii="仿宋_GB2312" w:hAnsi="仿宋_GB2312" w:cs="仿宋_GB2312" w:eastAsia="仿宋_GB2312"/>
              </w:rPr>
              <w:t xml:space="preserve"> 投标报价得分＝（评标基准价/投标报价）×价格评审值（注：满足招标文件要求且投标价格最低的投标报价为评标基准价。）最低报价不是中标的唯一依据。因落实政府采购政策进行价格调整的，以调整后的价格计算评标基准价和投标报价。</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本国产品说明</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详见附件：中国境内生产的组件成本核算基本规则</w:t>
      </w:r>
    </w:p>
    <w:p>
      <w:pPr>
        <w:pStyle w:val="null3"/>
        <w:ind w:firstLine="960"/>
      </w:pPr>
      <w:r>
        <w:rPr>
          <w:rFonts w:ascii="仿宋_GB2312" w:hAnsi="仿宋_GB2312" w:cs="仿宋_GB2312" w:eastAsia="仿宋_GB2312"/>
        </w:rPr>
        <w:t>详见附件：本国产品说明</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详见附件：商务偏离表.docx</w:t>
      </w:r>
    </w:p>
    <w:p>
      <w:pPr>
        <w:pStyle w:val="null3"/>
        <w:ind w:firstLine="960"/>
      </w:pPr>
      <w:r>
        <w:rPr>
          <w:rFonts w:ascii="仿宋_GB2312" w:hAnsi="仿宋_GB2312" w:cs="仿宋_GB2312" w:eastAsia="仿宋_GB2312"/>
        </w:rPr>
        <w:t>详见附件：技术偏离表.docx</w:t>
      </w:r>
    </w:p>
    <w:p>
      <w:pPr>
        <w:pStyle w:val="null3"/>
        <w:ind w:firstLine="960"/>
      </w:pPr>
      <w:r>
        <w:rPr>
          <w:rFonts w:ascii="仿宋_GB2312" w:hAnsi="仿宋_GB2312" w:cs="仿宋_GB2312" w:eastAsia="仿宋_GB2312"/>
        </w:rPr>
        <w:t>详见附件：供应商资质证明文件.docx</w:t>
      </w:r>
    </w:p>
    <w:p>
      <w:pPr>
        <w:pStyle w:val="null3"/>
        <w:ind w:firstLine="960"/>
      </w:pPr>
      <w:r>
        <w:rPr>
          <w:rFonts w:ascii="仿宋_GB2312" w:hAnsi="仿宋_GB2312" w:cs="仿宋_GB2312" w:eastAsia="仿宋_GB2312"/>
        </w:rPr>
        <w:t>详见附件：投标方案说明.docx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详见附件：合同模板.docx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