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ascii="宋体" w:hAnsi="宋体"/>
          <w:b/>
          <w:bCs/>
          <w:sz w:val="36"/>
          <w:szCs w:val="36"/>
          <w:lang w:val="zh-CN"/>
        </w:rPr>
      </w:pPr>
      <w:r>
        <w:rPr>
          <w:rFonts w:hint="eastAsia" w:ascii="宋体" w:hAnsi="宋体"/>
          <w:b/>
          <w:bCs/>
          <w:sz w:val="36"/>
          <w:szCs w:val="36"/>
          <w:lang w:val="zh-CN"/>
        </w:rPr>
        <w:t>技术偏离表</w:t>
      </w:r>
    </w:p>
    <w:p w14:paraId="117BD715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供应商名称：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项 目 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989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2"/>
        <w:gridCol w:w="1730"/>
        <w:gridCol w:w="2498"/>
        <w:gridCol w:w="2328"/>
        <w:gridCol w:w="1234"/>
        <w:gridCol w:w="1234"/>
      </w:tblGrid>
      <w:tr w14:paraId="69957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5" w:hRule="atLeast"/>
          <w:jc w:val="center"/>
        </w:trPr>
        <w:tc>
          <w:tcPr>
            <w:tcW w:w="872" w:type="dxa"/>
            <w:noWrap w:val="0"/>
            <w:vAlign w:val="center"/>
          </w:tcPr>
          <w:p w14:paraId="2C910F63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46838E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498" w:type="dxa"/>
            <w:noWrap w:val="0"/>
            <w:vAlign w:val="center"/>
          </w:tcPr>
          <w:p w14:paraId="16D03E2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28" w:type="dxa"/>
            <w:noWrap w:val="0"/>
            <w:vAlign w:val="center"/>
          </w:tcPr>
          <w:p w14:paraId="11CE010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34" w:type="dxa"/>
            <w:noWrap w:val="0"/>
            <w:vAlign w:val="center"/>
          </w:tcPr>
          <w:p w14:paraId="2952AAB4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偏离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34" w:type="dxa"/>
            <w:noWrap w:val="0"/>
            <w:vAlign w:val="center"/>
          </w:tcPr>
          <w:p w14:paraId="2882FF00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说明</w:t>
            </w:r>
          </w:p>
        </w:tc>
      </w:tr>
      <w:tr w14:paraId="65E8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48F4681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79A75E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61143D1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7B5879AF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5502ADF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77CF860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1DC40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AA929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FB30AC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AD2827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449C97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B3CE5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D7753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46F17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14A6A44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619277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1888C8E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DF2953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F8B0EF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FBC6C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B4EF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7940EBA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0BE1DC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B35E02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0529A19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3D764C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2774DE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793B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23490A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15086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40551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1BBD57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08161953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6902B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05AE1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8" w:hRule="atLeast"/>
          <w:jc w:val="center"/>
        </w:trPr>
        <w:tc>
          <w:tcPr>
            <w:tcW w:w="872" w:type="dxa"/>
            <w:noWrap w:val="0"/>
            <w:vAlign w:val="top"/>
          </w:tcPr>
          <w:p w14:paraId="48E9A64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6F787AA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7F9CBD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4876D7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3C48BD0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F3924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7660E9B3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03EB60AB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</w:p>
    <w:p w14:paraId="2BBFF8BE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注：</w:t>
      </w:r>
    </w:p>
    <w:p w14:paraId="1F004E6F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1.供应商仅对招标文件中的</w:t>
      </w:r>
      <w:r>
        <w:rPr>
          <w:rFonts w:hint="eastAsia" w:ascii="宋体" w:hAnsi="宋体"/>
          <w:sz w:val="28"/>
          <w:szCs w:val="28"/>
          <w:lang w:val="en-US" w:eastAsia="zh-CN"/>
        </w:rPr>
        <w:t>标“▲</w:t>
      </w:r>
      <w:r>
        <w:rPr>
          <w:rFonts w:hint="eastAsia" w:ascii="宋体" w:hAnsi="宋体"/>
          <w:sz w:val="28"/>
          <w:szCs w:val="28"/>
          <w:lang w:val="en-US" w:eastAsia="zh-CN"/>
        </w:rPr>
        <w:t>”参数进行逐条响应，响应情况未偏离则填写无偏离，若偏离则填写正偏离/负偏离。</w:t>
      </w:r>
    </w:p>
    <w:p w14:paraId="5DDE4B4F">
      <w:pPr>
        <w:spacing w:line="460" w:lineRule="exac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2.未标“▲”参数如有偏离也须在偏离表中进行响应，若无偏离则提供未标“▲”参数无偏离承诺，格式自拟。</w:t>
      </w:r>
    </w:p>
    <w:p w14:paraId="215B3360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3.供应商必须据实填写，不得虚假响应，不得复制粘贴相关采购需求条款，否则将取消其投标或中标资格，并按有关规定进行处罚。</w:t>
      </w:r>
    </w:p>
    <w:p w14:paraId="736F28F9"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8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608E0287"/>
    <w:rsid w:val="13F1026E"/>
    <w:rsid w:val="2A047761"/>
    <w:rsid w:val="34700C03"/>
    <w:rsid w:val="38F15DA9"/>
    <w:rsid w:val="608E0287"/>
    <w:rsid w:val="682839DD"/>
    <w:rsid w:val="755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4</TotalTime>
  <ScaleCrop>false</ScaleCrop>
  <LinksUpToDate>false</LinksUpToDate>
  <CharactersWithSpaces>295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2026-05-06T09:56:47Z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eyJoZGlkIjoiNGZkNWE4ZDNlNTE2MjNkNmNkMThlYmFmY2NlMmY2MjYiLCJ1c2VySWQiOiI2ODYzMDg4MjQifQ==</vt:lpwstr>
  </property>
</Properties>
</file>