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30581">
      <w:pPr>
        <w:spacing w:line="720" w:lineRule="exact"/>
        <w:ind w:firstLine="482" w:firstLineChars="100"/>
        <w:jc w:val="center"/>
        <w:rPr>
          <w:rFonts w:hint="eastAsia" w:ascii="宋体" w:hAnsi="宋体" w:eastAsia="宋体" w:cs="宋体"/>
          <w:b/>
          <w:color w:val="auto"/>
          <w:sz w:val="48"/>
          <w:szCs w:val="48"/>
          <w:highlight w:val="none"/>
          <w:lang w:val="en-US" w:eastAsia="zh-CN"/>
        </w:rPr>
      </w:pPr>
      <w:r>
        <w:rPr>
          <w:rFonts w:hint="eastAsia" w:ascii="宋体" w:hAnsi="宋体" w:eastAsia="宋体" w:cs="宋体"/>
          <w:b/>
          <w:color w:val="auto"/>
          <w:sz w:val="48"/>
          <w:szCs w:val="48"/>
          <w:highlight w:val="none"/>
          <w:lang w:val="en-US" w:eastAsia="zh-CN"/>
        </w:rPr>
        <w:t>陕西省船舶碰撞桥梁安全风险隐患排查治理技术支持合同</w:t>
      </w:r>
    </w:p>
    <w:p w14:paraId="7D247CC2">
      <w:pPr>
        <w:keepNext w:val="0"/>
        <w:keepLines w:val="0"/>
        <w:pageBreakBefore w:val="0"/>
        <w:widowControl w:val="0"/>
        <w:tabs>
          <w:tab w:val="left" w:pos="7740"/>
          <w:tab w:val="left" w:pos="8155"/>
        </w:tabs>
        <w:kinsoku/>
        <w:wordWrap/>
        <w:overflowPunct/>
        <w:topLinePunct w:val="0"/>
        <w:autoSpaceDE/>
        <w:autoSpaceDN/>
        <w:bidi w:val="0"/>
        <w:adjustRightInd/>
        <w:snapToGrid w:val="0"/>
        <w:spacing w:line="360" w:lineRule="auto"/>
        <w:ind w:firstLine="600" w:firstLineChars="249"/>
        <w:textAlignment w:val="auto"/>
        <w:rPr>
          <w:rFonts w:hint="eastAsia" w:ascii="宋体" w:hAnsi="宋体" w:eastAsia="宋体" w:cs="宋体"/>
          <w:b/>
          <w:color w:val="auto"/>
          <w:sz w:val="24"/>
          <w:highlight w:val="none"/>
        </w:rPr>
      </w:pPr>
    </w:p>
    <w:p w14:paraId="33726E6A">
      <w:pPr>
        <w:tabs>
          <w:tab w:val="left" w:pos="7740"/>
          <w:tab w:val="left" w:pos="8155"/>
        </w:tabs>
        <w:snapToGrid w:val="0"/>
        <w:spacing w:line="360" w:lineRule="auto"/>
        <w:ind w:firstLine="600" w:firstLineChars="249"/>
        <w:rPr>
          <w:rFonts w:hint="eastAsia" w:ascii="宋体" w:hAnsi="宋体" w:eastAsia="宋体" w:cs="宋体"/>
          <w:b/>
          <w:color w:val="auto"/>
          <w:sz w:val="24"/>
          <w:highlight w:val="none"/>
        </w:rPr>
      </w:pPr>
    </w:p>
    <w:p w14:paraId="5AE5AD5F">
      <w:pPr>
        <w:tabs>
          <w:tab w:val="left" w:pos="7740"/>
          <w:tab w:val="left" w:pos="8155"/>
        </w:tabs>
        <w:snapToGrid w:val="0"/>
        <w:spacing w:line="360" w:lineRule="auto"/>
        <w:ind w:firstLine="600" w:firstLineChars="249"/>
        <w:rPr>
          <w:rFonts w:hint="eastAsia" w:ascii="宋体" w:hAnsi="宋体" w:eastAsia="宋体" w:cs="宋体"/>
          <w:b/>
          <w:color w:val="auto"/>
          <w:sz w:val="24"/>
          <w:highlight w:val="none"/>
        </w:rPr>
      </w:pPr>
    </w:p>
    <w:p w14:paraId="67304641">
      <w:pPr>
        <w:tabs>
          <w:tab w:val="left" w:pos="7740"/>
          <w:tab w:val="left" w:pos="8155"/>
        </w:tabs>
        <w:snapToGrid w:val="0"/>
        <w:spacing w:line="360" w:lineRule="auto"/>
        <w:ind w:firstLine="600" w:firstLineChars="249"/>
        <w:rPr>
          <w:rFonts w:hint="eastAsia" w:ascii="宋体" w:hAnsi="宋体" w:eastAsia="宋体" w:cs="宋体"/>
          <w:b/>
          <w:color w:val="auto"/>
          <w:sz w:val="24"/>
          <w:highlight w:val="none"/>
        </w:rPr>
      </w:pPr>
    </w:p>
    <w:p w14:paraId="17EC78B7">
      <w:pPr>
        <w:tabs>
          <w:tab w:val="left" w:pos="7740"/>
          <w:tab w:val="left" w:pos="8155"/>
        </w:tabs>
        <w:snapToGrid w:val="0"/>
        <w:spacing w:line="360" w:lineRule="auto"/>
        <w:ind w:firstLine="600" w:firstLineChars="249"/>
        <w:rPr>
          <w:rFonts w:hint="eastAsia" w:ascii="宋体" w:hAnsi="宋体" w:eastAsia="宋体" w:cs="宋体"/>
          <w:b/>
          <w:color w:val="auto"/>
          <w:sz w:val="24"/>
          <w:highlight w:val="none"/>
        </w:rPr>
      </w:pPr>
    </w:p>
    <w:p w14:paraId="38BD2CBA">
      <w:pPr>
        <w:tabs>
          <w:tab w:val="left" w:pos="7740"/>
          <w:tab w:val="left" w:pos="8155"/>
        </w:tabs>
        <w:snapToGrid w:val="0"/>
        <w:spacing w:line="360" w:lineRule="auto"/>
        <w:ind w:firstLine="600" w:firstLineChars="249"/>
        <w:rPr>
          <w:rFonts w:hint="eastAsia" w:ascii="宋体" w:hAnsi="宋体" w:eastAsia="宋体" w:cs="宋体"/>
          <w:b/>
          <w:color w:val="auto"/>
          <w:sz w:val="24"/>
          <w:highlight w:val="none"/>
        </w:rPr>
      </w:pPr>
    </w:p>
    <w:p w14:paraId="6AA6DD3A">
      <w:pPr>
        <w:tabs>
          <w:tab w:val="left" w:pos="7740"/>
          <w:tab w:val="left" w:pos="8155"/>
        </w:tabs>
        <w:snapToGrid w:val="0"/>
        <w:spacing w:line="360" w:lineRule="auto"/>
        <w:ind w:firstLine="723" w:firstLineChars="300"/>
        <w:rPr>
          <w:rFonts w:hint="eastAsia" w:ascii="宋体" w:hAnsi="宋体" w:eastAsia="宋体" w:cs="宋体"/>
          <w:b/>
          <w:bCs/>
          <w:color w:val="auto"/>
          <w:sz w:val="24"/>
          <w:highlight w:val="none"/>
          <w:u w:val="single"/>
        </w:rPr>
      </w:pPr>
      <w:r>
        <w:rPr>
          <w:rFonts w:hint="eastAsia" w:ascii="宋体" w:hAnsi="宋体" w:eastAsia="宋体" w:cs="宋体"/>
          <w:b/>
          <w:color w:val="auto"/>
          <w:sz w:val="24"/>
          <w:highlight w:val="none"/>
        </w:rPr>
        <w:t>项 目 名 称：</w:t>
      </w:r>
      <w:r>
        <w:rPr>
          <w:rFonts w:hint="eastAsia" w:ascii="宋体" w:hAnsi="宋体" w:eastAsia="宋体" w:cs="宋体"/>
          <w:b/>
          <w:color w:val="auto"/>
          <w:sz w:val="24"/>
          <w:highlight w:val="none"/>
          <w:u w:val="single"/>
        </w:rPr>
        <w:t>陕西省船舶碰撞桥梁安全风险隐患排查治理技术支持</w:t>
      </w:r>
    </w:p>
    <w:p w14:paraId="790B257E">
      <w:pPr>
        <w:tabs>
          <w:tab w:val="left" w:pos="8155"/>
        </w:tabs>
        <w:snapToGrid w:val="0"/>
        <w:spacing w:line="360" w:lineRule="auto"/>
        <w:rPr>
          <w:rFonts w:hint="eastAsia" w:ascii="宋体" w:hAnsi="宋体" w:eastAsia="宋体" w:cs="宋体"/>
          <w:b/>
          <w:color w:val="auto"/>
          <w:sz w:val="24"/>
          <w:highlight w:val="none"/>
        </w:rPr>
      </w:pPr>
    </w:p>
    <w:p w14:paraId="2A2B00D4">
      <w:pPr>
        <w:snapToGrid w:val="0"/>
        <w:spacing w:line="360" w:lineRule="auto"/>
        <w:ind w:firstLine="600" w:firstLineChars="249"/>
        <w:rPr>
          <w:rFonts w:hint="eastAsia" w:ascii="宋体" w:hAnsi="宋体" w:eastAsia="宋体" w:cs="宋体"/>
          <w:b/>
          <w:color w:val="auto"/>
          <w:sz w:val="24"/>
          <w:highlight w:val="none"/>
          <w:u w:val="single"/>
          <w:lang w:val="en-US" w:eastAsia="zh-CN"/>
        </w:rPr>
      </w:pPr>
      <w:r>
        <w:rPr>
          <w:rFonts w:hint="eastAsia" w:ascii="宋体" w:hAnsi="宋体" w:eastAsia="宋体" w:cs="宋体"/>
          <w:b/>
          <w:color w:val="auto"/>
          <w:sz w:val="24"/>
          <w:highlight w:val="none"/>
        </w:rPr>
        <w:t xml:space="preserve"> 编       号：</w:t>
      </w:r>
      <w:r>
        <w:rPr>
          <w:rFonts w:hint="eastAsia" w:ascii="宋体" w:hAnsi="宋体" w:eastAsia="宋体" w:cs="宋体"/>
          <w:b/>
          <w:color w:val="auto"/>
          <w:sz w:val="24"/>
          <w:highlight w:val="none"/>
          <w:u w:val="single"/>
        </w:rPr>
        <w:t>HXGJXM2026-ZC-CS1011</w:t>
      </w:r>
      <w:r>
        <w:rPr>
          <w:rFonts w:hint="eastAsia" w:ascii="宋体" w:hAnsi="宋体" w:eastAsia="宋体" w:cs="宋体"/>
          <w:b/>
          <w:color w:val="auto"/>
          <w:sz w:val="24"/>
          <w:highlight w:val="none"/>
          <w:u w:val="single"/>
          <w:lang w:val="en-US" w:eastAsia="zh-CN"/>
        </w:rPr>
        <w:t xml:space="preserve">                          </w:t>
      </w:r>
    </w:p>
    <w:p w14:paraId="7A168A2C">
      <w:pPr>
        <w:pStyle w:val="4"/>
        <w:tabs>
          <w:tab w:val="left" w:pos="4473"/>
          <w:tab w:val="left" w:pos="8155"/>
          <w:tab w:val="left" w:pos="8946"/>
        </w:tabs>
        <w:snapToGrid w:val="0"/>
        <w:spacing w:line="360" w:lineRule="auto"/>
        <w:ind w:firstLine="602"/>
        <w:rPr>
          <w:rFonts w:hint="eastAsia" w:ascii="宋体" w:hAnsi="宋体" w:eastAsia="宋体" w:cs="宋体"/>
          <w:b/>
          <w:color w:val="auto"/>
          <w:sz w:val="24"/>
          <w:szCs w:val="24"/>
          <w:highlight w:val="none"/>
        </w:rPr>
      </w:pPr>
    </w:p>
    <w:p w14:paraId="5004212A">
      <w:pPr>
        <w:snapToGrid w:val="0"/>
        <w:spacing w:line="360" w:lineRule="auto"/>
        <w:ind w:firstLine="716" w:firstLineChars="297"/>
        <w:rPr>
          <w:rFonts w:hint="eastAsia" w:ascii="宋体" w:hAnsi="宋体" w:eastAsia="宋体" w:cs="宋体"/>
          <w:b/>
          <w:bCs/>
          <w:color w:val="auto"/>
          <w:sz w:val="24"/>
          <w:highlight w:val="none"/>
          <w:u w:val="single"/>
        </w:rPr>
      </w:pPr>
      <w:r>
        <w:rPr>
          <w:rFonts w:hint="eastAsia" w:ascii="宋体" w:hAnsi="宋体" w:eastAsia="宋体" w:cs="宋体"/>
          <w:b/>
          <w:color w:val="auto"/>
          <w:sz w:val="24"/>
          <w:highlight w:val="none"/>
        </w:rPr>
        <w:t>发  包  人：</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u w:val="single"/>
        </w:rPr>
        <w:t xml:space="preserve">       </w:t>
      </w:r>
    </w:p>
    <w:p w14:paraId="7EFE5D42">
      <w:pPr>
        <w:snapToGrid w:val="0"/>
        <w:spacing w:line="360" w:lineRule="auto"/>
        <w:rPr>
          <w:rFonts w:hint="eastAsia" w:ascii="宋体" w:hAnsi="宋体" w:eastAsia="宋体" w:cs="宋体"/>
          <w:b/>
          <w:color w:val="auto"/>
          <w:sz w:val="24"/>
          <w:highlight w:val="none"/>
        </w:rPr>
      </w:pPr>
    </w:p>
    <w:p w14:paraId="4BA091C0">
      <w:pPr>
        <w:ind w:firstLine="718" w:firstLineChars="298"/>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rPr>
        <w:t xml:space="preserve">编  制  人： </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u w:val="single"/>
        </w:rPr>
        <w:t xml:space="preserve">      </w:t>
      </w:r>
    </w:p>
    <w:p w14:paraId="1AE56E7D">
      <w:pPr>
        <w:snapToGrid w:val="0"/>
        <w:spacing w:line="520" w:lineRule="exact"/>
        <w:ind w:right="468" w:firstLine="708" w:firstLineChars="294"/>
        <w:rPr>
          <w:rFonts w:hint="eastAsia" w:ascii="宋体" w:hAnsi="宋体" w:eastAsia="宋体" w:cs="宋体"/>
          <w:b/>
          <w:color w:val="auto"/>
          <w:sz w:val="24"/>
          <w:highlight w:val="none"/>
        </w:rPr>
      </w:pPr>
    </w:p>
    <w:p w14:paraId="476F70A8">
      <w:pPr>
        <w:snapToGrid w:val="0"/>
        <w:spacing w:line="520" w:lineRule="exact"/>
        <w:ind w:right="468" w:firstLine="708" w:firstLineChars="2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签 订 日 期：</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b/>
          <w:color w:val="auto"/>
          <w:sz w:val="24"/>
          <w:highlight w:val="none"/>
          <w:u w:val="single"/>
        </w:rPr>
        <w:t xml:space="preserve">               </w:t>
      </w:r>
    </w:p>
    <w:p w14:paraId="7D38944C">
      <w:pPr>
        <w:snapToGrid w:val="0"/>
        <w:spacing w:line="360" w:lineRule="auto"/>
        <w:rPr>
          <w:rFonts w:hint="eastAsia" w:ascii="宋体" w:hAnsi="宋体" w:eastAsia="宋体" w:cs="宋体"/>
          <w:bCs/>
          <w:color w:val="auto"/>
          <w:szCs w:val="21"/>
          <w:highlight w:val="none"/>
        </w:rPr>
      </w:pPr>
    </w:p>
    <w:p w14:paraId="7AF2BED2">
      <w:pPr>
        <w:snapToGrid w:val="0"/>
        <w:spacing w:line="360" w:lineRule="auto"/>
        <w:rPr>
          <w:rFonts w:hint="eastAsia" w:ascii="宋体" w:hAnsi="宋体" w:eastAsia="宋体" w:cs="宋体"/>
          <w:bCs/>
          <w:color w:val="auto"/>
          <w:szCs w:val="21"/>
          <w:highlight w:val="none"/>
        </w:rPr>
      </w:pPr>
    </w:p>
    <w:p w14:paraId="603136F2">
      <w:pPr>
        <w:snapToGrid w:val="0"/>
        <w:spacing w:line="360" w:lineRule="auto"/>
        <w:rPr>
          <w:rFonts w:hint="eastAsia" w:ascii="宋体" w:hAnsi="宋体" w:eastAsia="宋体" w:cs="宋体"/>
          <w:bCs/>
          <w:color w:val="auto"/>
          <w:szCs w:val="21"/>
          <w:highlight w:val="none"/>
        </w:rPr>
      </w:pPr>
    </w:p>
    <w:p w14:paraId="495E5BE6">
      <w:pPr>
        <w:snapToGrid w:val="0"/>
        <w:spacing w:line="360" w:lineRule="auto"/>
        <w:rPr>
          <w:rFonts w:hint="eastAsia" w:ascii="宋体" w:hAnsi="宋体" w:eastAsia="宋体" w:cs="宋体"/>
          <w:bCs/>
          <w:color w:val="auto"/>
          <w:szCs w:val="21"/>
          <w:highlight w:val="none"/>
        </w:rPr>
      </w:pPr>
    </w:p>
    <w:p w14:paraId="487608CE">
      <w:pPr>
        <w:snapToGrid w:val="0"/>
        <w:spacing w:line="360" w:lineRule="auto"/>
        <w:rPr>
          <w:rFonts w:hint="eastAsia" w:ascii="宋体" w:hAnsi="宋体" w:eastAsia="宋体" w:cs="宋体"/>
          <w:bCs/>
          <w:color w:val="auto"/>
          <w:szCs w:val="21"/>
          <w:highlight w:val="none"/>
        </w:rPr>
      </w:pPr>
    </w:p>
    <w:p w14:paraId="4E09F2E2">
      <w:pPr>
        <w:snapToGrid w:val="0"/>
        <w:spacing w:line="360" w:lineRule="auto"/>
        <w:rPr>
          <w:rFonts w:hint="eastAsia" w:ascii="宋体" w:hAnsi="宋体" w:eastAsia="宋体" w:cs="宋体"/>
          <w:bCs/>
          <w:color w:val="auto"/>
          <w:szCs w:val="21"/>
          <w:highlight w:val="none"/>
        </w:rPr>
      </w:pPr>
    </w:p>
    <w:p w14:paraId="576CD979">
      <w:pPr>
        <w:tabs>
          <w:tab w:val="left" w:pos="1155"/>
        </w:tabs>
        <w:overflowPunct w:val="0"/>
        <w:topLinePunct/>
        <w:spacing w:line="460" w:lineRule="exact"/>
        <w:ind w:firstLine="513" w:firstLineChars="213"/>
        <w:rPr>
          <w:rFonts w:hint="eastAsia" w:ascii="宋体" w:hAnsi="宋体" w:eastAsia="宋体" w:cs="宋体"/>
          <w:b/>
          <w:bCs/>
          <w:color w:val="auto"/>
          <w:sz w:val="24"/>
          <w:highlight w:val="none"/>
        </w:rPr>
      </w:pPr>
      <w:bookmarkStart w:id="0" w:name="_Toc8194607"/>
      <w:bookmarkStart w:id="1" w:name="_Toc389553752"/>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附件：合同协议书</w:t>
      </w:r>
      <w:bookmarkEnd w:id="0"/>
      <w:bookmarkEnd w:id="1"/>
    </w:p>
    <w:p w14:paraId="24E4CE61">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24"/>
          <w:highlight w:val="none"/>
        </w:rPr>
        <w:t>第一节 合同协议书</w:t>
      </w:r>
    </w:p>
    <w:p w14:paraId="5F06CC6B">
      <w:pPr>
        <w:spacing w:line="400" w:lineRule="exact"/>
        <w:rPr>
          <w:rFonts w:hint="eastAsia" w:ascii="宋体" w:hAnsi="宋体" w:eastAsia="宋体" w:cs="宋体"/>
          <w:b/>
          <w:color w:val="auto"/>
          <w:sz w:val="32"/>
          <w:szCs w:val="32"/>
          <w:highlight w:val="none"/>
        </w:rPr>
      </w:pPr>
    </w:p>
    <w:p w14:paraId="05528768">
      <w:pPr>
        <w:snapToGrid w:val="0"/>
        <w:spacing w:line="360" w:lineRule="auto"/>
        <w:ind w:firstLine="600" w:firstLineChars="25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本协议由</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（以下简称“发包人”）与</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（以下简称“编制人”）于</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年</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月</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日商定并签署。</w:t>
      </w:r>
    </w:p>
    <w:p w14:paraId="43A8DF6E">
      <w:pPr>
        <w:snapToGrid w:val="0"/>
        <w:spacing w:line="360" w:lineRule="auto"/>
        <w:ind w:firstLine="600" w:firstLineChars="25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鉴于发包人拟进行</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（项目简称），并通过</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年</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月</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 xml:space="preserve">日的《成交通知书》接受了编制人以人民币 </w:t>
      </w:r>
      <w:r>
        <w:rPr>
          <w:rFonts w:hint="eastAsia" w:ascii="宋体" w:hAnsi="宋体" w:eastAsia="宋体" w:cs="宋体"/>
          <w:bCs/>
          <w:snapToGrid w:val="0"/>
          <w:color w:val="auto"/>
          <w:sz w:val="24"/>
          <w:highlight w:val="none"/>
          <w:u w:val="single"/>
        </w:rPr>
        <w:t xml:space="preserve">  （大写）   </w:t>
      </w:r>
      <w:r>
        <w:rPr>
          <w:rFonts w:hint="eastAsia" w:ascii="宋体" w:hAnsi="宋体" w:eastAsia="宋体" w:cs="宋体"/>
          <w:bCs/>
          <w:snapToGrid w:val="0"/>
          <w:color w:val="auto"/>
          <w:sz w:val="24"/>
          <w:highlight w:val="none"/>
        </w:rPr>
        <w:t>万元为</w:t>
      </w:r>
      <w:r>
        <w:rPr>
          <w:rFonts w:hint="eastAsia" w:ascii="宋体" w:hAnsi="宋体" w:eastAsia="宋体" w:cs="宋体"/>
          <w:bCs/>
          <w:snapToGrid w:val="0"/>
          <w:color w:val="auto"/>
          <w:sz w:val="24"/>
          <w:highlight w:val="none"/>
          <w:u w:val="single"/>
        </w:rPr>
        <w:t xml:space="preserve">（项目名称）   </w:t>
      </w:r>
      <w:r>
        <w:rPr>
          <w:rFonts w:hint="eastAsia" w:ascii="宋体" w:hAnsi="宋体" w:eastAsia="宋体" w:cs="宋体"/>
          <w:bCs/>
          <w:snapToGrid w:val="0"/>
          <w:color w:val="auto"/>
          <w:sz w:val="24"/>
          <w:highlight w:val="none"/>
        </w:rPr>
        <w:t>所做的投标，双方达成如下协议：</w:t>
      </w:r>
    </w:p>
    <w:p w14:paraId="58BC3121">
      <w:pPr>
        <w:snapToGrid w:val="0"/>
        <w:spacing w:line="360" w:lineRule="auto"/>
        <w:ind w:firstLine="600" w:firstLineChars="250"/>
        <w:rPr>
          <w:rFonts w:hint="eastAsia" w:ascii="宋体" w:hAnsi="宋体" w:eastAsia="宋体" w:cs="宋体"/>
          <w:bCs/>
          <w:snapToGrid w:val="0"/>
          <w:color w:val="auto"/>
          <w:sz w:val="24"/>
          <w:highlight w:val="none"/>
          <w:u w:val="single"/>
        </w:rPr>
      </w:pPr>
      <w:r>
        <w:rPr>
          <w:rFonts w:hint="eastAsia" w:ascii="宋体" w:hAnsi="宋体" w:eastAsia="宋体" w:cs="宋体"/>
          <w:bCs/>
          <w:snapToGrid w:val="0"/>
          <w:color w:val="auto"/>
          <w:sz w:val="24"/>
          <w:highlight w:val="none"/>
        </w:rPr>
        <w:t>1、编制人承担的任务内容：</w:t>
      </w:r>
      <w:r>
        <w:rPr>
          <w:rFonts w:hint="eastAsia" w:ascii="宋体" w:hAnsi="宋体" w:eastAsia="宋体" w:cs="宋体"/>
          <w:bCs/>
          <w:snapToGrid w:val="0"/>
          <w:color w:val="auto"/>
          <w:sz w:val="24"/>
          <w:highlight w:val="none"/>
          <w:u w:val="single"/>
        </w:rPr>
        <w:t xml:space="preserve">                                              </w:t>
      </w:r>
    </w:p>
    <w:p w14:paraId="6339B81E">
      <w:pPr>
        <w:snapToGrid w:val="0"/>
        <w:spacing w:line="360" w:lineRule="auto"/>
        <w:ind w:firstLine="600" w:firstLineChars="25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2、本合同服务期及提交的成果资料：</w:t>
      </w:r>
      <w:r>
        <w:rPr>
          <w:rFonts w:hint="eastAsia" w:ascii="宋体" w:hAnsi="宋体" w:eastAsia="宋体" w:cs="宋体"/>
          <w:bCs/>
          <w:snapToGrid w:val="0"/>
          <w:color w:val="auto"/>
          <w:sz w:val="24"/>
          <w:highlight w:val="none"/>
          <w:u w:val="single"/>
        </w:rPr>
        <w:t xml:space="preserve">                                      </w:t>
      </w:r>
    </w:p>
    <w:p w14:paraId="29EE21BC">
      <w:pPr>
        <w:snapToGrid w:val="0"/>
        <w:spacing w:line="360" w:lineRule="auto"/>
        <w:ind w:firstLine="480" w:firstLineChars="200"/>
        <w:rPr>
          <w:rFonts w:hint="eastAsia" w:ascii="宋体" w:hAnsi="宋体" w:eastAsia="宋体" w:cs="宋体"/>
          <w:bCs/>
          <w:snapToGrid w:val="0"/>
          <w:color w:val="auto"/>
          <w:sz w:val="24"/>
          <w:highlight w:val="none"/>
          <w:u w:val="single"/>
        </w:rPr>
      </w:pPr>
      <w:r>
        <w:rPr>
          <w:rFonts w:hint="eastAsia" w:ascii="宋体" w:hAnsi="宋体" w:eastAsia="宋体" w:cs="宋体"/>
          <w:bCs/>
          <w:snapToGrid w:val="0"/>
          <w:color w:val="auto"/>
          <w:sz w:val="24"/>
          <w:highlight w:val="none"/>
          <w:u w:val="single"/>
        </w:rPr>
        <w:t xml:space="preserve">                                                                        </w:t>
      </w:r>
    </w:p>
    <w:p w14:paraId="2E605BAB">
      <w:pPr>
        <w:snapToGrid w:val="0"/>
        <w:spacing w:line="360" w:lineRule="auto"/>
        <w:ind w:firstLine="480" w:firstLineChars="200"/>
        <w:rPr>
          <w:rFonts w:hint="eastAsia" w:ascii="宋体" w:hAnsi="宋体" w:eastAsia="宋体" w:cs="宋体"/>
          <w:bCs/>
          <w:snapToGrid w:val="0"/>
          <w:color w:val="auto"/>
          <w:sz w:val="24"/>
          <w:highlight w:val="none"/>
          <w:u w:val="single"/>
        </w:rPr>
      </w:pPr>
      <w:r>
        <w:rPr>
          <w:rFonts w:hint="eastAsia" w:ascii="宋体" w:hAnsi="宋体" w:eastAsia="宋体" w:cs="宋体"/>
          <w:bCs/>
          <w:snapToGrid w:val="0"/>
          <w:color w:val="auto"/>
          <w:sz w:val="24"/>
          <w:highlight w:val="none"/>
          <w:u w:val="single"/>
        </w:rPr>
        <w:t xml:space="preserve">                                                                        </w:t>
      </w:r>
    </w:p>
    <w:p w14:paraId="06EE8A6B">
      <w:pPr>
        <w:snapToGrid w:val="0"/>
        <w:spacing w:line="360" w:lineRule="auto"/>
        <w:ind w:firstLine="480" w:firstLineChars="200"/>
        <w:rPr>
          <w:rFonts w:hint="eastAsia" w:ascii="宋体" w:hAnsi="宋体" w:eastAsia="宋体" w:cs="宋体"/>
          <w:bCs/>
          <w:snapToGrid w:val="0"/>
          <w:color w:val="auto"/>
          <w:sz w:val="24"/>
          <w:highlight w:val="none"/>
          <w:u w:val="single"/>
        </w:rPr>
      </w:pPr>
      <w:r>
        <w:rPr>
          <w:rFonts w:hint="eastAsia" w:ascii="宋体" w:hAnsi="宋体" w:eastAsia="宋体" w:cs="宋体"/>
          <w:bCs/>
          <w:snapToGrid w:val="0"/>
          <w:color w:val="auto"/>
          <w:sz w:val="24"/>
          <w:highlight w:val="none"/>
          <w:u w:val="single"/>
        </w:rPr>
        <w:t xml:space="preserve">                                                                        </w:t>
      </w:r>
    </w:p>
    <w:p w14:paraId="4F3DC711">
      <w:pPr>
        <w:snapToGrid w:val="0"/>
        <w:spacing w:line="360" w:lineRule="auto"/>
        <w:ind w:right="468" w:firstLine="480" w:firstLineChars="20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注： 编制人向发包人提交最终成果报告，同时提供相应成果的电子版（电子版应保持原有文件的格式，即：文字部分WORD格式，图纸CAD格式，电子表格保留原有链接</w:t>
      </w:r>
      <w:r>
        <w:rPr>
          <w:rFonts w:hint="eastAsia" w:ascii="宋体" w:hAnsi="宋体" w:eastAsia="宋体" w:cs="宋体"/>
          <w:bCs/>
          <w:snapToGrid w:val="0"/>
          <w:color w:val="auto"/>
          <w:sz w:val="24"/>
          <w:highlight w:val="none"/>
          <w:lang w:eastAsia="zh-CN"/>
        </w:rPr>
        <w:t>、</w:t>
      </w:r>
      <w:r>
        <w:rPr>
          <w:rFonts w:hint="eastAsia" w:ascii="宋体" w:hAnsi="宋体" w:eastAsia="宋体" w:cs="宋体"/>
          <w:bCs/>
          <w:color w:val="auto"/>
          <w:sz w:val="24"/>
          <w:highlight w:val="none"/>
          <w:lang w:val="en-US" w:eastAsia="zh-CN"/>
        </w:rPr>
        <w:t>图纸、数据库</w:t>
      </w:r>
      <w:r>
        <w:rPr>
          <w:rFonts w:hint="eastAsia" w:ascii="宋体" w:hAnsi="宋体" w:eastAsia="宋体" w:cs="宋体"/>
          <w:bCs/>
          <w:snapToGrid w:val="0"/>
          <w:color w:val="auto"/>
          <w:sz w:val="24"/>
          <w:highlight w:val="none"/>
        </w:rPr>
        <w:t>等）。</w:t>
      </w:r>
    </w:p>
    <w:p w14:paraId="4F17661E">
      <w:pPr>
        <w:snapToGrid w:val="0"/>
        <w:spacing w:line="360" w:lineRule="auto"/>
        <w:ind w:firstLine="480" w:firstLineChars="20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3、下列文件应作为本合同的组成部分：</w:t>
      </w:r>
    </w:p>
    <w:p w14:paraId="757FD2A4">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合同文件应能互相解释，互为说明。除合同另有约定外，其组成和解释顺序如下：</w:t>
      </w:r>
    </w:p>
    <w:p w14:paraId="61FB2698">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（1）合同协议书及其附件（含采购期间和合同谈判过程中的澄清文件和补充资料；编制人提交的经发包人审核通过的工作大纲或进度计划以及双方协商同意的补充及修改文件等）；</w:t>
      </w:r>
    </w:p>
    <w:p w14:paraId="03204C7A">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（2）成交通知书；</w:t>
      </w:r>
    </w:p>
    <w:p w14:paraId="2E56123D">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（3）响应性文件；</w:t>
      </w:r>
    </w:p>
    <w:p w14:paraId="049C3E8E">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（4）合同条款；</w:t>
      </w:r>
    </w:p>
    <w:p w14:paraId="767A9EA3">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（5）双方协商同意的变更、纪要、协议；</w:t>
      </w:r>
    </w:p>
    <w:p w14:paraId="00A7F539">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（6）发包人在《采购文件》中提供的技术资料。</w:t>
      </w:r>
    </w:p>
    <w:p w14:paraId="5766AD1F">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当合同文件出现含糊不清或不相一致时，在不影响项目进度的情况下，由双方协商解决；双方意见仍不能一致的，按本合同条款第9.1条约定的办法解决。</w:t>
      </w:r>
    </w:p>
    <w:p w14:paraId="275AF2F5">
      <w:pPr>
        <w:snapToGrid w:val="0"/>
        <w:spacing w:line="360" w:lineRule="auto"/>
        <w:ind w:firstLine="480" w:firstLineChars="20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4、合同总价</w:t>
      </w:r>
    </w:p>
    <w:p w14:paraId="50ABDCC7">
      <w:pPr>
        <w:snapToGrid w:val="0"/>
        <w:spacing w:line="360" w:lineRule="auto"/>
        <w:ind w:firstLine="600" w:firstLineChars="25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本合同为</w:t>
      </w:r>
      <w:r>
        <w:rPr>
          <w:rFonts w:hint="eastAsia" w:ascii="宋体" w:hAnsi="宋体" w:eastAsia="宋体" w:cs="宋体"/>
          <w:bCs/>
          <w:snapToGrid w:val="0"/>
          <w:color w:val="auto"/>
          <w:sz w:val="24"/>
          <w:highlight w:val="none"/>
          <w:u w:val="single"/>
        </w:rPr>
        <w:t>固定总价合同</w:t>
      </w:r>
      <w:r>
        <w:rPr>
          <w:rFonts w:hint="eastAsia" w:ascii="宋体" w:hAnsi="宋体" w:eastAsia="宋体" w:cs="宋体"/>
          <w:bCs/>
          <w:snapToGrid w:val="0"/>
          <w:color w:val="auto"/>
          <w:sz w:val="24"/>
          <w:highlight w:val="none"/>
        </w:rPr>
        <w:t>，合同总价为人民币（大写</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元（¥</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u w:val="single"/>
          <w:lang w:val="en-US" w:eastAsia="zh-CN"/>
        </w:rPr>
        <w:t xml:space="preserve">     </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元）。</w:t>
      </w:r>
    </w:p>
    <w:p w14:paraId="4A53B7B1">
      <w:pPr>
        <w:adjustRightInd w:val="0"/>
        <w:snapToGrid w:val="0"/>
        <w:spacing w:line="360" w:lineRule="auto"/>
        <w:ind w:firstLine="480" w:firstLineChars="20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5、项目负责人：</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，技术负责人：</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w:t>
      </w:r>
    </w:p>
    <w:p w14:paraId="3424720C">
      <w:pPr>
        <w:adjustRightInd w:val="0"/>
        <w:snapToGrid w:val="0"/>
        <w:spacing w:line="360" w:lineRule="auto"/>
        <w:ind w:firstLine="480" w:firstLineChars="20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6、发包人和编制人双方的责任和义务及违约条款遵照合同条款的规定。</w:t>
      </w:r>
    </w:p>
    <w:p w14:paraId="26063953">
      <w:pPr>
        <w:snapToGrid w:val="0"/>
        <w:spacing w:line="360" w:lineRule="auto"/>
        <w:ind w:right="468" w:firstLine="480" w:firstLineChars="20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7、本协议书由双方法定代表人或其委托代理人签署并加盖单位章后生效。承包人完成全部编制任务且费用结清后失效。</w:t>
      </w:r>
    </w:p>
    <w:p w14:paraId="194CE4ED">
      <w:pPr>
        <w:adjustRightInd w:val="0"/>
        <w:snapToGrid w:val="0"/>
        <w:spacing w:line="360" w:lineRule="auto"/>
        <w:ind w:firstLine="480" w:firstLineChars="20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8、本协议书一式</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u w:val="single"/>
          <w:lang w:val="en-US" w:eastAsia="zh-CN"/>
        </w:rPr>
        <w:t xml:space="preserve">  </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份，其中正本</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u w:val="single"/>
          <w:lang w:val="en-US" w:eastAsia="zh-CN"/>
        </w:rPr>
        <w:t xml:space="preserve"> </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份，双方各执</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u w:val="single"/>
          <w:lang w:val="en-US" w:eastAsia="zh-CN"/>
        </w:rPr>
        <w:t xml:space="preserve"> </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份；副本</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u w:val="single"/>
          <w:lang w:val="en-US" w:eastAsia="zh-CN"/>
        </w:rPr>
        <w:t xml:space="preserve"> </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份，双方各执</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u w:val="single"/>
          <w:lang w:val="en-US" w:eastAsia="zh-CN"/>
        </w:rPr>
        <w:t xml:space="preserve"> </w:t>
      </w:r>
      <w:r>
        <w:rPr>
          <w:rFonts w:hint="eastAsia" w:ascii="宋体" w:hAnsi="宋体" w:eastAsia="宋体" w:cs="宋体"/>
          <w:bCs/>
          <w:snapToGrid w:val="0"/>
          <w:color w:val="auto"/>
          <w:sz w:val="24"/>
          <w:highlight w:val="none"/>
          <w:u w:val="single"/>
        </w:rPr>
        <w:t xml:space="preserve"> </w:t>
      </w:r>
      <w:r>
        <w:rPr>
          <w:rFonts w:hint="eastAsia" w:ascii="宋体" w:hAnsi="宋体" w:eastAsia="宋体" w:cs="宋体"/>
          <w:bCs/>
          <w:snapToGrid w:val="0"/>
          <w:color w:val="auto"/>
          <w:sz w:val="24"/>
          <w:highlight w:val="none"/>
        </w:rPr>
        <w:t>份。</w:t>
      </w:r>
    </w:p>
    <w:p w14:paraId="1059D204">
      <w:pPr>
        <w:adjustRightInd w:val="0"/>
        <w:snapToGrid w:val="0"/>
        <w:spacing w:line="360" w:lineRule="auto"/>
        <w:ind w:firstLine="480" w:firstLineChars="200"/>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9、合同未尽事宜，双方另行签订补充协议，补充协议是合同的组成部分。</w:t>
      </w:r>
    </w:p>
    <w:p w14:paraId="11A3136A">
      <w:pPr>
        <w:adjustRightInd w:val="0"/>
        <w:snapToGrid w:val="0"/>
        <w:spacing w:line="360" w:lineRule="auto"/>
        <w:rPr>
          <w:rFonts w:hint="eastAsia" w:ascii="宋体" w:hAnsi="宋体" w:eastAsia="宋体" w:cs="宋体"/>
          <w:bCs/>
          <w:snapToGrid w:val="0"/>
          <w:color w:val="auto"/>
          <w:sz w:val="24"/>
          <w:highlight w:val="none"/>
        </w:rPr>
      </w:pPr>
    </w:p>
    <w:p w14:paraId="18654711">
      <w:pPr>
        <w:adjustRightInd w:val="0"/>
        <w:snapToGrid w:val="0"/>
        <w:spacing w:line="400" w:lineRule="exact"/>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 xml:space="preserve">发 包  人：（公章）                         </w:t>
      </w:r>
      <w:r>
        <w:rPr>
          <w:rFonts w:hint="eastAsia" w:ascii="宋体" w:hAnsi="宋体" w:eastAsia="宋体" w:cs="宋体"/>
          <w:bCs/>
          <w:snapToGrid w:val="0"/>
          <w:color w:val="auto"/>
          <w:sz w:val="24"/>
          <w:highlight w:val="none"/>
          <w:lang w:val="en-US" w:eastAsia="zh-CN"/>
        </w:rPr>
        <w:t xml:space="preserve"> </w:t>
      </w:r>
      <w:r>
        <w:rPr>
          <w:rFonts w:hint="eastAsia" w:ascii="宋体" w:hAnsi="宋体" w:eastAsia="宋体" w:cs="宋体"/>
          <w:bCs/>
          <w:snapToGrid w:val="0"/>
          <w:color w:val="auto"/>
          <w:sz w:val="24"/>
          <w:highlight w:val="none"/>
        </w:rPr>
        <w:t>编制人：（公章）</w:t>
      </w:r>
    </w:p>
    <w:p w14:paraId="3FC7C75D">
      <w:pPr>
        <w:adjustRightInd w:val="0"/>
        <w:snapToGrid w:val="0"/>
        <w:spacing w:line="400" w:lineRule="exact"/>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法定代表人：                                 法定代表人：</w:t>
      </w:r>
    </w:p>
    <w:p w14:paraId="6C87E6C9">
      <w:pPr>
        <w:adjustRightInd w:val="0"/>
        <w:snapToGrid w:val="0"/>
        <w:spacing w:line="400" w:lineRule="exact"/>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委托代理人：                                 委托代理人：</w:t>
      </w:r>
    </w:p>
    <w:p w14:paraId="266C01BE">
      <w:pPr>
        <w:adjustRightInd w:val="0"/>
        <w:snapToGrid w:val="0"/>
        <w:spacing w:line="400" w:lineRule="exact"/>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开户银行：                                   开户银行：</w:t>
      </w:r>
    </w:p>
    <w:p w14:paraId="6CD8E0B6">
      <w:pPr>
        <w:adjustRightInd w:val="0"/>
        <w:snapToGrid w:val="0"/>
        <w:spacing w:line="400" w:lineRule="exact"/>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帐    号：                                   帐    号：</w:t>
      </w:r>
    </w:p>
    <w:p w14:paraId="7A999B9B">
      <w:pPr>
        <w:adjustRightInd w:val="0"/>
        <w:snapToGrid w:val="0"/>
        <w:spacing w:line="400" w:lineRule="exact"/>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地    址：                                   地    址：</w:t>
      </w:r>
    </w:p>
    <w:p w14:paraId="7B862CEB">
      <w:pPr>
        <w:adjustRightInd w:val="0"/>
        <w:snapToGrid w:val="0"/>
        <w:spacing w:line="400" w:lineRule="exact"/>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电    话：                                   电    话：</w:t>
      </w:r>
    </w:p>
    <w:p w14:paraId="02E45C85">
      <w:pPr>
        <w:adjustRightInd w:val="0"/>
        <w:snapToGrid w:val="0"/>
        <w:spacing w:line="400" w:lineRule="exact"/>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传    真：                                   传    真：</w:t>
      </w:r>
    </w:p>
    <w:p w14:paraId="6D892CC0">
      <w:pPr>
        <w:adjustRightInd w:val="0"/>
        <w:snapToGrid w:val="0"/>
        <w:spacing w:line="400" w:lineRule="exact"/>
        <w:rPr>
          <w:rFonts w:hint="eastAsia" w:ascii="宋体" w:hAnsi="宋体" w:eastAsia="宋体" w:cs="宋体"/>
          <w:bCs/>
          <w:snapToGrid w:val="0"/>
          <w:color w:val="auto"/>
          <w:sz w:val="24"/>
          <w:highlight w:val="none"/>
        </w:rPr>
      </w:pPr>
      <w:r>
        <w:rPr>
          <w:rFonts w:hint="eastAsia" w:ascii="宋体" w:hAnsi="宋体" w:eastAsia="宋体" w:cs="宋体"/>
          <w:bCs/>
          <w:snapToGrid w:val="0"/>
          <w:color w:val="auto"/>
          <w:sz w:val="24"/>
          <w:highlight w:val="none"/>
        </w:rPr>
        <w:t>日    期：                                   日    期：</w:t>
      </w:r>
    </w:p>
    <w:p w14:paraId="6EDCEBBA">
      <w:pPr>
        <w:pStyle w:val="10"/>
        <w:rPr>
          <w:rFonts w:hint="eastAsia" w:ascii="宋体" w:hAnsi="宋体" w:eastAsia="宋体" w:cs="宋体"/>
          <w:color w:val="auto"/>
          <w:highlight w:val="none"/>
        </w:rPr>
      </w:pPr>
    </w:p>
    <w:p w14:paraId="2151D9A4">
      <w:pPr>
        <w:pStyle w:val="10"/>
        <w:rPr>
          <w:rFonts w:hint="eastAsia" w:ascii="宋体" w:hAnsi="宋体" w:eastAsia="宋体" w:cs="宋体"/>
          <w:color w:val="auto"/>
          <w:highlight w:val="none"/>
        </w:rPr>
      </w:pPr>
    </w:p>
    <w:p w14:paraId="6817AF8C">
      <w:pPr>
        <w:pStyle w:val="10"/>
        <w:rPr>
          <w:rFonts w:hint="eastAsia" w:ascii="宋体" w:hAnsi="宋体" w:eastAsia="宋体" w:cs="宋体"/>
          <w:color w:val="auto"/>
          <w:highlight w:val="none"/>
        </w:rPr>
      </w:pPr>
    </w:p>
    <w:p w14:paraId="39BD15C8">
      <w:pPr>
        <w:pStyle w:val="10"/>
        <w:rPr>
          <w:rFonts w:hint="eastAsia" w:ascii="宋体" w:hAnsi="宋体" w:eastAsia="宋体" w:cs="宋体"/>
          <w:color w:val="auto"/>
          <w:highlight w:val="none"/>
        </w:rPr>
      </w:pPr>
    </w:p>
    <w:p w14:paraId="7BFA9B32">
      <w:pPr>
        <w:pStyle w:val="10"/>
        <w:rPr>
          <w:rFonts w:hint="eastAsia" w:ascii="宋体" w:hAnsi="宋体" w:eastAsia="宋体" w:cs="宋体"/>
          <w:color w:val="auto"/>
          <w:highlight w:val="none"/>
        </w:rPr>
      </w:pPr>
    </w:p>
    <w:p w14:paraId="3BD3A0A2">
      <w:pPr>
        <w:pStyle w:val="10"/>
        <w:rPr>
          <w:rFonts w:hint="eastAsia" w:ascii="宋体" w:hAnsi="宋体" w:eastAsia="宋体" w:cs="宋体"/>
          <w:color w:val="auto"/>
          <w:highlight w:val="none"/>
        </w:rPr>
      </w:pPr>
    </w:p>
    <w:p w14:paraId="40DF7D78">
      <w:pPr>
        <w:spacing w:line="240" w:lineRule="auto"/>
        <w:jc w:val="left"/>
        <w:outlineLvl w:val="9"/>
        <w:rPr>
          <w:rFonts w:hint="eastAsia" w:ascii="宋体" w:hAnsi="宋体" w:eastAsia="宋体" w:cs="宋体"/>
          <w:b/>
          <w:color w:val="auto"/>
          <w:sz w:val="24"/>
          <w:highlight w:val="none"/>
        </w:rPr>
      </w:pPr>
      <w:bookmarkStart w:id="2" w:name="_Toc525116396"/>
      <w:bookmarkStart w:id="3" w:name="_Toc40859862"/>
      <w:bookmarkStart w:id="4" w:name="_Toc389553740"/>
      <w:bookmarkStart w:id="5" w:name="_Toc40879824"/>
      <w:bookmarkStart w:id="6" w:name="_Toc102119634"/>
      <w:bookmarkStart w:id="7" w:name="_Toc40859976"/>
      <w:bookmarkStart w:id="8" w:name="_Toc136589617"/>
      <w:bookmarkStart w:id="9" w:name="_Toc19465"/>
      <w:r>
        <w:rPr>
          <w:rFonts w:hint="eastAsia" w:ascii="宋体" w:hAnsi="宋体" w:eastAsia="宋体" w:cs="宋体"/>
          <w:b/>
          <w:color w:val="auto"/>
          <w:sz w:val="24"/>
          <w:highlight w:val="none"/>
        </w:rPr>
        <w:br w:type="page"/>
      </w:r>
    </w:p>
    <w:p w14:paraId="43A3FA7B">
      <w:pPr>
        <w:spacing w:line="360" w:lineRule="auto"/>
        <w:jc w:val="center"/>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第二节 合同条款</w:t>
      </w:r>
      <w:bookmarkEnd w:id="2"/>
      <w:bookmarkEnd w:id="3"/>
      <w:bookmarkEnd w:id="4"/>
      <w:bookmarkEnd w:id="5"/>
      <w:bookmarkEnd w:id="6"/>
      <w:bookmarkEnd w:id="7"/>
      <w:bookmarkEnd w:id="8"/>
    </w:p>
    <w:p w14:paraId="612163D5">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bookmarkStart w:id="10" w:name="_Toc8194596"/>
      <w:bookmarkStart w:id="11" w:name="_Toc389553741"/>
      <w:r>
        <w:rPr>
          <w:rFonts w:hint="eastAsia" w:ascii="宋体" w:hAnsi="宋体" w:eastAsia="宋体" w:cs="宋体"/>
          <w:b/>
          <w:bCs/>
          <w:color w:val="auto"/>
          <w:sz w:val="24"/>
          <w:highlight w:val="none"/>
        </w:rPr>
        <w:t>1．词语定义</w:t>
      </w:r>
      <w:bookmarkEnd w:id="10"/>
      <w:bookmarkEnd w:id="11"/>
    </w:p>
    <w:p w14:paraId="300E3E5B">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本合同条款下述定义和解释仅限于本采购文件使用。</w:t>
      </w:r>
    </w:p>
    <w:p w14:paraId="1C34630D">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  发包人：即合同书中的“甲方”，是指本合同条款中指明的指定的负责管理建设项目的代表机构，以及取得该当事人（单位）资格的合法继承人。</w:t>
      </w:r>
    </w:p>
    <w:p w14:paraId="6B90F021">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编制人:即合同书中的“乙方”，是指其投标书已为甲方所接受，并与甲方签订了合同书承担本合同项目的咨询机构，以及取得该当事机构资格的合法继承人，但不包括该当事机构的任何受让人。</w:t>
      </w:r>
    </w:p>
    <w:p w14:paraId="1BFDF7B9">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  分包人:是指经发包人批准，具有相应资质，承担合同中项目核准程序规定的部分内容的咨询机构。</w:t>
      </w:r>
    </w:p>
    <w:p w14:paraId="217B3D91">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1.5</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工作合同: 是指合同协议书、成交通知书、采购文件、响应性文件、合同条款、技术标准与规范、报价清单，以及构成合同组成部分的其它文件。</w:t>
      </w:r>
    </w:p>
    <w:p w14:paraId="74D7D346">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1.6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技术标准与规范:是本次项目编制的依据，指中华人民共和国国家标准和国家发改委等主管部门颁布的现行标准、规范、规程、定额、办法、示例等，以及发包人有关书面要求。</w:t>
      </w:r>
    </w:p>
    <w:p w14:paraId="2AB811DF">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成果:指乙方按合同的规定而编写的有关本项目的报告、标准、定额等。</w:t>
      </w:r>
    </w:p>
    <w:p w14:paraId="7B3CDDDE">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1.10</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不可抗力：指甲方与乙方不能预见、或不能采取措施避免并不能克服的自然灾害或社会政治因素等。</w:t>
      </w:r>
    </w:p>
    <w:p w14:paraId="67AF5A53">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1.11</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甲方风险：因不可抗力或应由甲方单方承担责任而产生的风险。</w:t>
      </w:r>
    </w:p>
    <w:p w14:paraId="0F3D3DD6">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1.12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合同文件及解释顺序</w:t>
      </w:r>
    </w:p>
    <w:p w14:paraId="6983DE13">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合同文件应能互相解释，互为说明。除合同另有约定外，其组成和解释顺序如下：</w:t>
      </w:r>
    </w:p>
    <w:p w14:paraId="6B6DFD17">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1.12.1合同协议书及其附件（含采购期间和合同谈判过程中的澄清文件和补充资料；编制人提交的经发包人审核通过的工作大纲或进度计划以及双方协商同意的补充及修改文件等）；</w:t>
      </w:r>
    </w:p>
    <w:p w14:paraId="10704A28">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1.12.2 成交通知书；</w:t>
      </w:r>
    </w:p>
    <w:p w14:paraId="2330CF54">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1.12.3 响应性文件；</w:t>
      </w:r>
    </w:p>
    <w:p w14:paraId="2271075F">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1.12.4 合同条款；</w:t>
      </w:r>
    </w:p>
    <w:p w14:paraId="18C7D9B8">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1.12.5 双方协商同意的变更、纪要、协议；</w:t>
      </w:r>
    </w:p>
    <w:p w14:paraId="607074FF">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1.12.6 发包人在《采购文件》中提供的技术资料。</w:t>
      </w:r>
    </w:p>
    <w:p w14:paraId="76BA287A">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当合同文件出现含糊不清或不相一致时，在不影响项目进度的情况下，由双方协商解决；双方意见仍不能一致的，按本合同条款第9.1条约定的办法解决。</w:t>
      </w:r>
    </w:p>
    <w:p w14:paraId="482F181C">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1.13</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天:指日历日。年、月、日按公历计算。</w:t>
      </w:r>
    </w:p>
    <w:p w14:paraId="4860A4BD">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1.14</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时间：本采购文件所指时间均为北京时间。</w:t>
      </w:r>
    </w:p>
    <w:p w14:paraId="474D0BC1">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bookmarkStart w:id="12" w:name="_Toc8194597"/>
      <w:bookmarkStart w:id="13" w:name="_Toc389553742"/>
      <w:r>
        <w:rPr>
          <w:rFonts w:hint="eastAsia" w:ascii="宋体" w:hAnsi="宋体" w:eastAsia="宋体" w:cs="宋体"/>
          <w:b/>
          <w:bCs/>
          <w:color w:val="auto"/>
          <w:sz w:val="24"/>
          <w:highlight w:val="none"/>
        </w:rPr>
        <w:t>2．双方责任</w:t>
      </w:r>
      <w:bookmarkEnd w:id="12"/>
      <w:bookmarkEnd w:id="13"/>
    </w:p>
    <w:p w14:paraId="53408D4C">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 发包人责任</w:t>
      </w:r>
    </w:p>
    <w:p w14:paraId="64454342">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2.1.1 发包人应尊重编制人根据国家或行业有关标准规定进行编制工作的权力，不应提出与国家或行业标准、规定相抵触的要求；</w:t>
      </w:r>
    </w:p>
    <w:p w14:paraId="1BC1EE63">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2.1.2 发包人有义务配合编制人收集项目前期已形成的基础资料。</w:t>
      </w:r>
    </w:p>
    <w:p w14:paraId="0F35F873">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2.1.3 发包人应按合同规定向编制人支付项目开展编制工作所需的费用；</w:t>
      </w:r>
    </w:p>
    <w:p w14:paraId="6D308434">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2.1.4 发包人需要保护编制人的版权、未经编制人同意，发包人对编制人交付的报告不得复制或向第三方转让或用于本合同外的项目；</w:t>
      </w:r>
    </w:p>
    <w:p w14:paraId="2DCD2393">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 编制人责任</w:t>
      </w:r>
    </w:p>
    <w:p w14:paraId="7A3504B5">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2.2.1 按照国家或行业现行标准、规程、规范、技术条例进行本采购项目的编制工作，严格掌握编制内容； </w:t>
      </w:r>
    </w:p>
    <w:p w14:paraId="7F09ABDD">
      <w:pPr>
        <w:tabs>
          <w:tab w:val="left" w:pos="1155"/>
        </w:tabs>
        <w:overflowPunct w:val="0"/>
        <w:topLinePunct/>
        <w:spacing w:line="440" w:lineRule="exact"/>
        <w:ind w:firstLine="511" w:firstLineChars="213"/>
        <w:rPr>
          <w:rFonts w:hint="eastAsia" w:ascii="宋体" w:hAnsi="宋体" w:eastAsia="宋体" w:cs="宋体"/>
          <w:color w:val="auto"/>
          <w:szCs w:val="21"/>
          <w:highlight w:val="none"/>
        </w:rPr>
      </w:pPr>
      <w:r>
        <w:rPr>
          <w:rFonts w:hint="eastAsia" w:ascii="宋体" w:hAnsi="宋体" w:eastAsia="宋体" w:cs="宋体"/>
          <w:bCs/>
          <w:color w:val="auto"/>
          <w:sz w:val="24"/>
          <w:highlight w:val="none"/>
        </w:rPr>
        <w:t>2.2.2进度计划的提交：编制人在接到成交通知书后7日内，向发包人提供工作大纲或进度计划；</w:t>
      </w:r>
    </w:p>
    <w:p w14:paraId="794C2716">
      <w:pPr>
        <w:tabs>
          <w:tab w:val="left" w:pos="1155"/>
        </w:tabs>
        <w:overflowPunct w:val="0"/>
        <w:topLinePunct/>
        <w:spacing w:line="44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2.2.3 编制人应按照合同的规定和响应性文件中的承诺进行工作，并对提交的成果负责。</w:t>
      </w:r>
    </w:p>
    <w:p w14:paraId="1D8CA71B">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2.2.4编制人对于项目需要的基础资料应自行搜集，可能发生的费用应包含在报价中，发包人不再支付。</w:t>
      </w:r>
    </w:p>
    <w:p w14:paraId="12797E42">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2.2.5 转包和分包</w:t>
      </w:r>
    </w:p>
    <w:p w14:paraId="1019BFAE">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（1）编制人不得将本合同转包。</w:t>
      </w:r>
    </w:p>
    <w:p w14:paraId="34BB6ADE">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（2）编制人不得将主体工作分包给第三人。经发包人同意，编制人可将任务中有特殊要求的工作进行分包。</w:t>
      </w:r>
    </w:p>
    <w:p w14:paraId="2DB1889A">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（3）分包人的资质和能力均应与其承担的工程规模和标准相适应，分包人不得再将该分包项目再次分包或转包。</w:t>
      </w:r>
    </w:p>
    <w:p w14:paraId="32F92EDB">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（4）即使采购人同意分包，也不应解除编制人根据合同规定应承担的全部责任和义务，编制人应对其分包人的工作负全部责任。</w:t>
      </w:r>
    </w:p>
    <w:p w14:paraId="69CF4B6D">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（5）任何分包合同须在签订之日7天内报发包人备案。</w:t>
      </w:r>
    </w:p>
    <w:p w14:paraId="2D30EA46">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（6）发包人对编制人与各分包人之间的法律和经济纠纷不承担任何责任和义务。</w:t>
      </w:r>
    </w:p>
    <w:p w14:paraId="35ED3256">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2.2.6人员保证与变更</w:t>
      </w:r>
    </w:p>
    <w:p w14:paraId="5A308493">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 编制人应安排响应性文件中承诺的人员投入工作，并在工作过程中保持人员的相对稳定。</w:t>
      </w:r>
    </w:p>
    <w:p w14:paraId="102669DD">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 如果编制人的人员不能胜任工作、渎职或从事其他违法活动，甲方有权以书面形式提出更换要求，编制人应立即派出具有同等资历的人员替换； 若非因上述原因，编制人有权拒绝。编制人在事先取得甲方的同意后可以更换人员，但应符合合同规定的资历要求，否则，甲方有权拒绝。</w:t>
      </w:r>
    </w:p>
    <w:p w14:paraId="4F682C76">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 编制人的工作进度没有达到响应性文件中承诺的进度计划时，甲方有权提出要求增加人员，编制人应立即安排，其费用被认为已包含在合同价格之中。</w:t>
      </w:r>
    </w:p>
    <w:p w14:paraId="518ED7B4">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 由于发包人提出加快工作进度，提前完成而增加人员时，其增加的费用由双方协商确定。</w:t>
      </w:r>
    </w:p>
    <w:p w14:paraId="751F10A4">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2.2.7 编制人未经发包人同意不得向第三方扩散、转让发包人提交的报告等技术经济资料。</w:t>
      </w:r>
    </w:p>
    <w:p w14:paraId="1A0D9419">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2.2.8对于编制人在工作过程中发生的人员伤亡，或者造成第三方的人员伤亡，或财产损失，或由此而引起的其他一切损害和损失，发包人均不承担责任，由编制人负责。</w:t>
      </w:r>
    </w:p>
    <w:p w14:paraId="01582A63">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bookmarkStart w:id="14" w:name="_Toc389553743"/>
      <w:bookmarkStart w:id="15" w:name="_Toc8194598"/>
      <w:r>
        <w:rPr>
          <w:rFonts w:hint="eastAsia" w:ascii="宋体" w:hAnsi="宋体" w:eastAsia="宋体" w:cs="宋体"/>
          <w:b/>
          <w:bCs/>
          <w:color w:val="auto"/>
          <w:sz w:val="24"/>
          <w:highlight w:val="none"/>
        </w:rPr>
        <w:t>3．工作进度</w:t>
      </w:r>
      <w:bookmarkEnd w:id="14"/>
      <w:bookmarkEnd w:id="15"/>
    </w:p>
    <w:p w14:paraId="6A2D9726">
      <w:pPr>
        <w:tabs>
          <w:tab w:val="left" w:pos="1155"/>
        </w:tabs>
        <w:overflowPunct w:val="0"/>
        <w:topLinePunct/>
        <w:spacing w:line="44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服务期：</w:t>
      </w:r>
      <w:r>
        <w:rPr>
          <w:rFonts w:hint="eastAsia" w:ascii="宋体" w:hAnsi="宋体" w:eastAsia="宋体" w:cs="宋体"/>
          <w:bCs/>
          <w:color w:val="auto"/>
          <w:sz w:val="24"/>
          <w:highlight w:val="none"/>
          <w:u w:val="single"/>
        </w:rPr>
        <w:t>自合同生效之日起，至本合同约定的“陕西省船舶碰撞桥梁安全风险隐患排查治理技术支持”工作全部完成，相关成果文件均已提交，并经</w:t>
      </w:r>
      <w:r>
        <w:rPr>
          <w:rFonts w:hint="eastAsia" w:ascii="宋体" w:hAnsi="宋体" w:eastAsia="宋体" w:cs="宋体"/>
          <w:bCs/>
          <w:color w:val="auto"/>
          <w:sz w:val="24"/>
          <w:highlight w:val="none"/>
          <w:u w:val="single"/>
          <w:lang w:eastAsia="zh-CN"/>
        </w:rPr>
        <w:t>发包人</w:t>
      </w:r>
      <w:r>
        <w:rPr>
          <w:rFonts w:hint="eastAsia" w:ascii="宋体" w:hAnsi="宋体" w:eastAsia="宋体" w:cs="宋体"/>
          <w:bCs/>
          <w:color w:val="auto"/>
          <w:sz w:val="24"/>
          <w:highlight w:val="none"/>
          <w:u w:val="single"/>
        </w:rPr>
        <w:t>书面确认后终止</w:t>
      </w:r>
      <w:r>
        <w:rPr>
          <w:rFonts w:hint="eastAsia" w:ascii="宋体" w:hAnsi="宋体" w:eastAsia="宋体" w:cs="宋体"/>
          <w:color w:val="auto"/>
          <w:sz w:val="24"/>
          <w:szCs w:val="24"/>
          <w:highlight w:val="none"/>
          <w:u w:val="single"/>
          <w:lang w:val="en-US" w:eastAsia="zh-CN"/>
        </w:rPr>
        <w:t>，服务起始时间：签订合同后当日生效</w:t>
      </w:r>
      <w:r>
        <w:rPr>
          <w:rFonts w:hint="eastAsia" w:ascii="宋体" w:hAnsi="宋体" w:eastAsia="宋体" w:cs="宋体"/>
          <w:color w:val="auto"/>
          <w:sz w:val="24"/>
          <w:highlight w:val="none"/>
        </w:rPr>
        <w:t>。</w:t>
      </w:r>
    </w:p>
    <w:p w14:paraId="2F1CB44B">
      <w:pPr>
        <w:numPr>
          <w:ilvl w:val="0"/>
          <w:numId w:val="1"/>
        </w:num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bookmarkStart w:id="16" w:name="_Toc8194599"/>
      <w:r>
        <w:rPr>
          <w:rFonts w:hint="eastAsia" w:ascii="宋体" w:hAnsi="宋体" w:eastAsia="宋体" w:cs="宋体"/>
          <w:b/>
          <w:bCs/>
          <w:color w:val="auto"/>
          <w:sz w:val="24"/>
          <w:highlight w:val="none"/>
        </w:rPr>
        <w:t>提交的成果</w:t>
      </w:r>
      <w:bookmarkEnd w:id="16"/>
      <w:bookmarkStart w:id="17" w:name="_Toc389553745"/>
    </w:p>
    <w:p w14:paraId="4A6A50A9">
      <w:pPr>
        <w:tabs>
          <w:tab w:val="left" w:pos="1155"/>
        </w:tabs>
        <w:overflowPunct w:val="0"/>
        <w:topLinePunct/>
        <w:spacing w:line="440" w:lineRule="exact"/>
        <w:ind w:firstLine="511" w:firstLineChars="213"/>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（1）陕西省船舶碰撞桥梁安全风险隐患排查技术</w:t>
      </w:r>
      <w:r>
        <w:rPr>
          <w:rFonts w:hint="eastAsia" w:hAnsi="宋体" w:cs="宋体"/>
          <w:bCs/>
          <w:color w:val="auto"/>
          <w:sz w:val="24"/>
          <w:highlight w:val="none"/>
          <w:lang w:val="en-US" w:eastAsia="zh-CN"/>
        </w:rPr>
        <w:t>细则</w:t>
      </w:r>
    </w:p>
    <w:p w14:paraId="331565F3">
      <w:pPr>
        <w:tabs>
          <w:tab w:val="left" w:pos="1155"/>
        </w:tabs>
        <w:overflowPunct w:val="0"/>
        <w:topLinePunct/>
        <w:spacing w:line="440" w:lineRule="exact"/>
        <w:ind w:firstLine="480" w:firstLineChars="200"/>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（2）隐惠排查报告</w:t>
      </w:r>
    </w:p>
    <w:p w14:paraId="66A066E8">
      <w:pPr>
        <w:tabs>
          <w:tab w:val="left" w:pos="1155"/>
        </w:tabs>
        <w:overflowPunct w:val="0"/>
        <w:topLinePunct/>
        <w:spacing w:line="440" w:lineRule="exact"/>
        <w:ind w:firstLine="511" w:firstLineChars="213"/>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（3）全省隐患处置效果评估报告</w:t>
      </w:r>
    </w:p>
    <w:p w14:paraId="0E04F164">
      <w:pPr>
        <w:tabs>
          <w:tab w:val="left" w:pos="1155"/>
        </w:tabs>
        <w:overflowPunct w:val="0"/>
        <w:topLinePunct/>
        <w:spacing w:line="440" w:lineRule="exact"/>
        <w:ind w:firstLine="511" w:firstLineChars="213"/>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（4）“一桥一档”数据库</w:t>
      </w:r>
    </w:p>
    <w:p w14:paraId="579340AA">
      <w:pPr>
        <w:tabs>
          <w:tab w:val="left" w:pos="1155"/>
        </w:tabs>
        <w:overflowPunct w:val="0"/>
        <w:topLinePunct/>
        <w:spacing w:line="440" w:lineRule="exact"/>
        <w:ind w:firstLine="511" w:firstLineChars="213"/>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（5）“全省一张图”可视化展示</w:t>
      </w:r>
    </w:p>
    <w:p w14:paraId="6EE8C169">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注：同时提供相应成果的电子版（电子版应保持原有文件的格式，即：文字部分WORD格式，图纸CAD格式，电子表格保留原有链接</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图纸、数据库</w:t>
      </w:r>
      <w:r>
        <w:rPr>
          <w:rFonts w:hint="eastAsia" w:ascii="宋体" w:hAnsi="宋体" w:eastAsia="宋体" w:cs="宋体"/>
          <w:bCs/>
          <w:color w:val="auto"/>
          <w:sz w:val="24"/>
          <w:highlight w:val="none"/>
        </w:rPr>
        <w:t>等）。</w:t>
      </w:r>
    </w:p>
    <w:p w14:paraId="29FDA801">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bookmarkStart w:id="18" w:name="_Toc8194600"/>
      <w:r>
        <w:rPr>
          <w:rFonts w:hint="eastAsia" w:ascii="宋体" w:hAnsi="宋体" w:eastAsia="宋体" w:cs="宋体"/>
          <w:b/>
          <w:bCs/>
          <w:color w:val="auto"/>
          <w:sz w:val="24"/>
          <w:highlight w:val="none"/>
        </w:rPr>
        <w:t>5．其它服务</w:t>
      </w:r>
      <w:bookmarkEnd w:id="17"/>
      <w:bookmarkEnd w:id="18"/>
    </w:p>
    <w:p w14:paraId="333058EA">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bookmarkStart w:id="19" w:name="_Toc389553746"/>
      <w:r>
        <w:rPr>
          <w:rFonts w:hint="eastAsia" w:ascii="宋体" w:hAnsi="宋体" w:eastAsia="宋体" w:cs="宋体"/>
          <w:bCs/>
          <w:color w:val="auto"/>
          <w:sz w:val="24"/>
          <w:highlight w:val="none"/>
        </w:rPr>
        <w:t>5.1其它服务包括但不限于以下工作：</w:t>
      </w:r>
    </w:p>
    <w:p w14:paraId="339ED8D7">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（1）根据采购人要求的服务期提前交付的成果；</w:t>
      </w:r>
    </w:p>
    <w:p w14:paraId="140F9B08">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（2）增加成果份数超过规定的部分；</w:t>
      </w:r>
    </w:p>
    <w:p w14:paraId="3E8F31A8">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bookmarkStart w:id="20" w:name="_Toc8194601"/>
      <w:r>
        <w:rPr>
          <w:rFonts w:hint="eastAsia" w:ascii="宋体" w:hAnsi="宋体" w:eastAsia="宋体" w:cs="宋体"/>
          <w:b/>
          <w:bCs/>
          <w:color w:val="auto"/>
          <w:sz w:val="24"/>
          <w:highlight w:val="none"/>
        </w:rPr>
        <w:t>6．合同价款支付</w:t>
      </w:r>
      <w:bookmarkEnd w:id="19"/>
      <w:bookmarkEnd w:id="20"/>
    </w:p>
    <w:p w14:paraId="21168C02">
      <w:pPr>
        <w:tabs>
          <w:tab w:val="left" w:pos="1155"/>
        </w:tabs>
        <w:overflowPunct w:val="0"/>
        <w:topLinePunct/>
        <w:spacing w:line="440" w:lineRule="exact"/>
        <w:ind w:firstLine="511" w:firstLineChars="213"/>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rPr>
        <w:t>6.1费用支付方式为：</w:t>
      </w:r>
      <w:r>
        <w:rPr>
          <w:rFonts w:hint="eastAsia" w:ascii="宋体" w:hAnsi="宋体" w:eastAsia="宋体" w:cs="宋体"/>
          <w:bCs/>
          <w:color w:val="auto"/>
          <w:sz w:val="24"/>
          <w:highlight w:val="none"/>
          <w:lang w:val="en-US" w:eastAsia="zh-CN"/>
        </w:rPr>
        <w:t>合同签订后20日内支付合同总金额的</w:t>
      </w:r>
      <w:r>
        <w:rPr>
          <w:rFonts w:hint="default" w:hAnsi="宋体" w:cs="宋体"/>
          <w:bCs/>
          <w:color w:val="auto"/>
          <w:sz w:val="24"/>
          <w:highlight w:val="none"/>
          <w:lang w:val="en-US" w:eastAsia="zh-CN"/>
        </w:rPr>
        <w:t>6</w:t>
      </w:r>
      <w:r>
        <w:rPr>
          <w:rFonts w:hint="eastAsia" w:ascii="宋体" w:hAnsi="宋体" w:eastAsia="宋体" w:cs="宋体"/>
          <w:bCs/>
          <w:color w:val="auto"/>
          <w:sz w:val="24"/>
          <w:highlight w:val="none"/>
          <w:lang w:val="en-US" w:eastAsia="zh-CN"/>
        </w:rPr>
        <w:t>0%；</w:t>
      </w:r>
      <w:r>
        <w:rPr>
          <w:rFonts w:hint="eastAsia" w:ascii="宋体" w:hAnsi="宋体" w:cs="宋体"/>
          <w:color w:val="auto"/>
          <w:highlight w:val="none"/>
          <w:lang w:eastAsia="zh-CN"/>
        </w:rPr>
        <w:t>技术支持工作完成后，提交全部工作成果并</w:t>
      </w:r>
      <w:r>
        <w:rPr>
          <w:rFonts w:hint="eastAsia" w:ascii="宋体" w:hAnsi="宋体" w:cs="宋体"/>
          <w:color w:val="auto"/>
          <w:highlight w:val="none"/>
          <w:lang w:val="en-US" w:eastAsia="zh-CN"/>
        </w:rPr>
        <w:t>经发包人确认后20日内，支付合同总金额的</w:t>
      </w:r>
      <w:r>
        <w:rPr>
          <w:rFonts w:hint="default" w:ascii="宋体" w:hAnsi="宋体" w:cs="宋体"/>
          <w:color w:val="auto"/>
          <w:highlight w:val="none"/>
          <w:lang w:val="en-US" w:eastAsia="zh-CN"/>
        </w:rPr>
        <w:t>4</w:t>
      </w:r>
      <w:r>
        <w:rPr>
          <w:rFonts w:hint="eastAsia" w:ascii="宋体" w:hAnsi="宋体" w:cs="宋体"/>
          <w:color w:val="auto"/>
          <w:highlight w:val="none"/>
          <w:lang w:val="en-US" w:eastAsia="zh-CN"/>
        </w:rPr>
        <w:t>0%；</w:t>
      </w:r>
      <w:r>
        <w:rPr>
          <w:rFonts w:hint="eastAsia" w:hAnsi="宋体" w:cs="宋体"/>
          <w:color w:val="auto"/>
          <w:highlight w:val="none"/>
          <w:lang w:val="en-US" w:eastAsia="zh-CN"/>
        </w:rPr>
        <w:t>或</w:t>
      </w:r>
      <w:r>
        <w:rPr>
          <w:rFonts w:hint="eastAsia" w:ascii="宋体" w:hAnsi="宋体" w:cs="宋体"/>
          <w:color w:val="auto"/>
          <w:highlight w:val="none"/>
          <w:lang w:val="en-US" w:eastAsia="zh-CN"/>
        </w:rPr>
        <w:t>合同履约至2026年12月10日，提交该项目阶段性工作成果及2026年12月11日至合同服务期截止期间的工作计划，经发包人确认后20日内，支付合同总金额的</w:t>
      </w:r>
      <w:r>
        <w:rPr>
          <w:rFonts w:hint="default" w:ascii="宋体" w:hAnsi="宋体" w:cs="宋体"/>
          <w:color w:val="auto"/>
          <w:highlight w:val="none"/>
          <w:lang w:val="en-US" w:eastAsia="zh-CN"/>
        </w:rPr>
        <w:t>4</w:t>
      </w:r>
      <w:r>
        <w:rPr>
          <w:rFonts w:hint="eastAsia" w:ascii="宋体" w:hAnsi="宋体" w:cs="宋体"/>
          <w:color w:val="auto"/>
          <w:highlight w:val="none"/>
          <w:lang w:val="en-US" w:eastAsia="zh-CN"/>
        </w:rPr>
        <w:t>0%。</w:t>
      </w:r>
      <w:r>
        <w:rPr>
          <w:rFonts w:hint="eastAsia" w:ascii="宋体" w:hAnsi="宋体" w:eastAsia="宋体" w:cs="宋体"/>
          <w:bCs/>
          <w:color w:val="auto"/>
          <w:sz w:val="24"/>
          <w:highlight w:val="none"/>
          <w:u w:val="none"/>
        </w:rPr>
        <w:t>付款前，成交供应商应当向采购人提交合法、足额、有效的</w:t>
      </w:r>
      <w:r>
        <w:rPr>
          <w:rFonts w:hint="eastAsia" w:ascii="宋体" w:hAnsi="宋体" w:eastAsia="宋体" w:cs="宋体"/>
          <w:bCs/>
          <w:color w:val="auto"/>
          <w:sz w:val="24"/>
          <w:highlight w:val="none"/>
          <w:u w:val="none"/>
          <w:lang w:val="en-US" w:eastAsia="zh-CN"/>
        </w:rPr>
        <w:t>增值税普通发票</w:t>
      </w:r>
      <w:r>
        <w:rPr>
          <w:rFonts w:hint="eastAsia" w:ascii="宋体" w:hAnsi="宋体" w:eastAsia="宋体" w:cs="宋体"/>
          <w:bCs/>
          <w:color w:val="auto"/>
          <w:sz w:val="24"/>
          <w:highlight w:val="none"/>
          <w:u w:val="none"/>
        </w:rPr>
        <w:t>，否则采购人有权不予付款且不视为采购人违约；供应商也不得以此为由暂停履行合同义务。</w:t>
      </w:r>
    </w:p>
    <w:p w14:paraId="001AD5F6">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6.2 发包人变更委托项目、规模、条件，对所提资料作较大修改，以致造成编制人返工或增加工作量时，双方除需另行协商签订补充合同、重新明确有关条款外，发包人应按编制人所耗工作量向编制人支付返工费或追加工作量的补偿。</w:t>
      </w:r>
    </w:p>
    <w:p w14:paraId="0DF10CA8">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bookmarkStart w:id="21" w:name="_Toc8194602"/>
      <w:bookmarkStart w:id="22" w:name="_Toc389553747"/>
      <w:r>
        <w:rPr>
          <w:rFonts w:hint="eastAsia" w:ascii="宋体" w:hAnsi="宋体" w:eastAsia="宋体" w:cs="宋体"/>
          <w:b/>
          <w:bCs/>
          <w:color w:val="auto"/>
          <w:sz w:val="24"/>
          <w:highlight w:val="none"/>
        </w:rPr>
        <w:t>7．违约与赔偿</w:t>
      </w:r>
      <w:bookmarkEnd w:id="21"/>
      <w:bookmarkEnd w:id="22"/>
      <w:r>
        <w:rPr>
          <w:rFonts w:hint="eastAsia" w:ascii="宋体" w:hAnsi="宋体" w:eastAsia="宋体" w:cs="宋体"/>
          <w:b/>
          <w:bCs/>
          <w:color w:val="auto"/>
          <w:sz w:val="24"/>
          <w:highlight w:val="none"/>
        </w:rPr>
        <w:t xml:space="preserve"> </w:t>
      </w:r>
    </w:p>
    <w:p w14:paraId="145F6962">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7.1 发包人或编制人违反合同规定造成损失的应承担违约责任；</w:t>
      </w:r>
    </w:p>
    <w:p w14:paraId="4D41D8AF">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7.2 因成果报告深度不够、资料不足而被要求返工从而造成问题的，除由编制人负责继续完善报告外，甲方还可视造成的时间延误和费用损失，计扣编制人合同价</w:t>
      </w:r>
      <w:r>
        <w:rPr>
          <w:rFonts w:hint="eastAsia" w:ascii="宋体" w:hAnsi="宋体" w:eastAsia="宋体" w:cs="宋体"/>
          <w:bCs/>
          <w:color w:val="auto"/>
          <w:sz w:val="24"/>
          <w:highlight w:val="none"/>
          <w:u w:val="single"/>
        </w:rPr>
        <w:t xml:space="preserve"> 1 </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 xml:space="preserve"> 3 </w:t>
      </w:r>
      <w:r>
        <w:rPr>
          <w:rFonts w:hint="eastAsia" w:ascii="宋体" w:hAnsi="宋体" w:eastAsia="宋体" w:cs="宋体"/>
          <w:bCs/>
          <w:color w:val="auto"/>
          <w:sz w:val="24"/>
          <w:highlight w:val="none"/>
        </w:rPr>
        <w:t>%的违约金。</w:t>
      </w:r>
    </w:p>
    <w:p w14:paraId="470E2C5B">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7.3 由于编制人自身原因，延误了成果交付时间，视延误情况酌情扣除费用的1%～3%。</w:t>
      </w:r>
    </w:p>
    <w:p w14:paraId="15347A93">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7.4</w:t>
      </w:r>
      <w:r>
        <w:rPr>
          <w:rFonts w:hint="eastAsia" w:ascii="宋体" w:hAnsi="宋体" w:eastAsia="宋体" w:cs="宋体"/>
          <w:bCs/>
          <w:color w:val="auto"/>
          <w:sz w:val="24"/>
          <w:highlight w:val="none"/>
        </w:rPr>
        <w:t>成果质量不合格，乙方无偿返工，返工后仍不合格，甲方有权解除合同并追回已付款项。</w:t>
      </w:r>
    </w:p>
    <w:p w14:paraId="150AAA8D">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bookmarkStart w:id="23" w:name="_Toc389553748"/>
      <w:bookmarkStart w:id="24" w:name="_Toc8194603"/>
      <w:r>
        <w:rPr>
          <w:rFonts w:hint="eastAsia" w:ascii="宋体" w:hAnsi="宋体" w:eastAsia="宋体" w:cs="宋体"/>
          <w:b/>
          <w:bCs/>
          <w:color w:val="auto"/>
          <w:sz w:val="24"/>
          <w:highlight w:val="none"/>
        </w:rPr>
        <w:t>8．成果的交付</w:t>
      </w:r>
      <w:bookmarkEnd w:id="23"/>
      <w:bookmarkEnd w:id="24"/>
    </w:p>
    <w:p w14:paraId="0BDC3BB1">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编制人根据有关成果的出版份数规定和双方根据本项目采购文件和响应性文件约定的交付时间向发包人提供成果。</w:t>
      </w:r>
    </w:p>
    <w:p w14:paraId="090858E1">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bookmarkStart w:id="25" w:name="_Toc8194604"/>
      <w:bookmarkStart w:id="26" w:name="_Toc389553749"/>
      <w:r>
        <w:rPr>
          <w:rFonts w:hint="eastAsia" w:ascii="宋体" w:hAnsi="宋体" w:eastAsia="宋体" w:cs="宋体"/>
          <w:b/>
          <w:bCs/>
          <w:color w:val="auto"/>
          <w:sz w:val="24"/>
          <w:highlight w:val="none"/>
        </w:rPr>
        <w:t>9．争议与索赔</w:t>
      </w:r>
      <w:bookmarkEnd w:id="25"/>
      <w:bookmarkEnd w:id="26"/>
    </w:p>
    <w:p w14:paraId="4D9DAC6B">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9.1 争议与索赔：发包人、编制人双方因合同发生争议时，双方应通过友好协商解决，协商不能达成协议，要求调解、仲裁、或诉讼的，采用调解或仲裁方式解决：向有管辖权的人民法院起诉。</w:t>
      </w:r>
    </w:p>
    <w:p w14:paraId="318EC2E7">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仲裁期间，除与仲裁有关的部分外，双方应继续履行合同规定的各自的义务。</w:t>
      </w:r>
    </w:p>
    <w:p w14:paraId="4B98D1F1">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10、知识产权归属</w:t>
      </w:r>
    </w:p>
    <w:p w14:paraId="38C2D70B">
      <w:pPr>
        <w:tabs>
          <w:tab w:val="left" w:pos="1155"/>
        </w:tabs>
        <w:overflowPunct w:val="0"/>
        <w:topLinePunct/>
        <w:spacing w:line="440" w:lineRule="exact"/>
        <w:ind w:firstLine="511" w:firstLineChars="213"/>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本项目的编制成果归发包人所有，未经发包人同意不得转让、出售或任意处理编制成果。</w:t>
      </w:r>
    </w:p>
    <w:p w14:paraId="6975E4E6">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11、履约验收内容：</w:t>
      </w:r>
    </w:p>
    <w:p w14:paraId="080F492F">
      <w:pPr>
        <w:spacing w:line="312"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11.1、技术履约内容</w:t>
      </w:r>
    </w:p>
    <w:p w14:paraId="7E341E64">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①技术服务内容：</w:t>
      </w:r>
    </w:p>
    <w:p w14:paraId="3DC4B55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陕西省船舶碰撞桥梁安全风险隐患排查技术</w:t>
      </w:r>
      <w:r>
        <w:rPr>
          <w:rFonts w:hint="eastAsia" w:hAnsi="宋体" w:cs="宋体"/>
          <w:color w:val="auto"/>
          <w:sz w:val="24"/>
          <w:szCs w:val="24"/>
          <w:highlight w:val="none"/>
          <w:lang w:eastAsia="zh-CN"/>
        </w:rPr>
        <w:t>细则</w:t>
      </w:r>
    </w:p>
    <w:p w14:paraId="5E92E8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隐惠排查报告</w:t>
      </w:r>
    </w:p>
    <w:p w14:paraId="40E3983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全省隐患处置效果评估报告</w:t>
      </w:r>
    </w:p>
    <w:p w14:paraId="332AC3C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“一桥一档”数据库</w:t>
      </w:r>
    </w:p>
    <w:p w14:paraId="165D4F5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“全省一张图”可视化展示</w:t>
      </w:r>
    </w:p>
    <w:p w14:paraId="2592302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②成果资料</w:t>
      </w:r>
    </w:p>
    <w:p w14:paraId="1091CB7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提交成果资料包括纸质版10套，电子版1份。</w:t>
      </w:r>
    </w:p>
    <w:p w14:paraId="378F5DD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③成果和资料的保密与归属</w:t>
      </w:r>
    </w:p>
    <w:p w14:paraId="581374A0">
      <w:pPr>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乙方在项目实施过程中形成的所有原始资料、中间及最终成果归甲方所有；乙方相关服务资料的所有权、使用权的约定：归甲方所有。乙方不得以任何借口留存，否则承担由此产生的一切法律和经济责任。未经甲方允许，任何单位和个人不得转让和使用本项目的相关内容。     </w:t>
      </w:r>
    </w:p>
    <w:p w14:paraId="3A3EF5BA">
      <w:pPr>
        <w:spacing w:line="360" w:lineRule="auto"/>
        <w:ind w:firstLine="720" w:firstLine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11.2、商务履约内容</w:t>
      </w:r>
    </w:p>
    <w:p w14:paraId="6AEB02D7">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①知识产权：供应商应保证在陕西省水路交通事业发展中心使用本编制成果时，不承担任何涉及知识产权法律诉讼的责任。</w:t>
      </w:r>
    </w:p>
    <w:p w14:paraId="12779E0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②成果交付（服务）地点：陕西省水路交通事业发展中心</w:t>
      </w:r>
      <w:r>
        <w:rPr>
          <w:rFonts w:hint="eastAsia" w:ascii="宋体" w:hAnsi="宋体" w:eastAsia="宋体" w:cs="宋体"/>
          <w:color w:val="auto"/>
          <w:sz w:val="24"/>
          <w:szCs w:val="24"/>
          <w:highlight w:val="none"/>
          <w:lang w:val="en-US" w:eastAsia="zh-CN"/>
        </w:rPr>
        <w:t>指定地点</w:t>
      </w:r>
      <w:r>
        <w:rPr>
          <w:rFonts w:hint="eastAsia" w:ascii="宋体" w:hAnsi="宋体" w:eastAsia="宋体" w:cs="宋体"/>
          <w:color w:val="auto"/>
          <w:sz w:val="24"/>
          <w:szCs w:val="24"/>
          <w:highlight w:val="none"/>
        </w:rPr>
        <w:t>。</w:t>
      </w:r>
    </w:p>
    <w:p w14:paraId="3DD2831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③质量保证：重视基本情况调查，体现战略性和前瞻性，重视思路创新与理念创新。</w:t>
      </w:r>
    </w:p>
    <w:p w14:paraId="70AA8886">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服务成果应切合实际，达到方案合理、安全可靠、经济合理的要求，交付的服务成果文件必须完整、准确、详尽、规范，须满足采购单位要求。当甲方依据有关标准、规范对方案提出异议时，乙方应及时、无偿并负责地对原方案及相关文件作出修改，直至采购单位满意为止。</w:t>
      </w:r>
    </w:p>
    <w:p w14:paraId="165B30CF">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（2）凡是有内容变更，必须以文字形式说明原因和具体修改内容，双方指定联络人书面达成一致后存档。</w:t>
      </w:r>
    </w:p>
    <w:p w14:paraId="0EABC5A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（3）乙方需书面明确项目主要负责人以及其他主要</w:t>
      </w:r>
      <w:r>
        <w:rPr>
          <w:rFonts w:hint="eastAsia" w:ascii="宋体" w:hAnsi="宋体" w:eastAsia="宋体" w:cs="宋体"/>
          <w:color w:val="auto"/>
          <w:sz w:val="24"/>
          <w:szCs w:val="24"/>
          <w:highlight w:val="none"/>
          <w:lang w:val="en-US" w:eastAsia="zh-CN"/>
        </w:rPr>
        <w:t>技术负责人</w:t>
      </w:r>
      <w:r>
        <w:rPr>
          <w:rFonts w:hint="eastAsia" w:ascii="宋体" w:hAnsi="宋体" w:eastAsia="宋体" w:cs="宋体"/>
          <w:color w:val="auto"/>
          <w:sz w:val="24"/>
          <w:szCs w:val="24"/>
          <w:highlight w:val="none"/>
        </w:rPr>
        <w:t>名单及联系方式。</w:t>
      </w:r>
    </w:p>
    <w:p w14:paraId="4D1C509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（4）乙方未经甲方书面同意不得无故更换项目负责人,对于不称职的项目负责人甲方有权要求更换,但更换超过二次,甲方有权单方面终止合同。</w:t>
      </w:r>
    </w:p>
    <w:p w14:paraId="4A392C2D">
      <w:pPr>
        <w:spacing w:line="360" w:lineRule="auto"/>
        <w:ind w:firstLine="480" w:firstLineChars="200"/>
        <w:jc w:val="left"/>
        <w:rPr>
          <w:rFonts w:hint="eastAsia" w:ascii="宋体" w:hAnsi="宋体" w:eastAsia="宋体" w:cs="宋体"/>
          <w:color w:val="auto"/>
          <w:sz w:val="24"/>
          <w:szCs w:val="24"/>
          <w:highlight w:val="none"/>
        </w:rPr>
      </w:pPr>
      <w:r>
        <w:rPr>
          <w:rFonts w:hint="eastAsia" w:hAnsi="宋体" w:cs="宋体"/>
          <w:color w:val="auto"/>
          <w:sz w:val="24"/>
          <w:szCs w:val="24"/>
          <w:highlight w:val="none"/>
          <w:lang w:val="en-US" w:eastAsia="zh-CN"/>
        </w:rPr>
        <w:t>④</w:t>
      </w:r>
      <w:r>
        <w:rPr>
          <w:rFonts w:hint="eastAsia" w:ascii="宋体" w:hAnsi="宋体" w:eastAsia="宋体" w:cs="宋体"/>
          <w:color w:val="auto"/>
          <w:sz w:val="24"/>
          <w:szCs w:val="24"/>
          <w:highlight w:val="none"/>
        </w:rPr>
        <w:t>售后服务：乙方须保证协助甲方为采购项目的后期工作需求，提供完善的后续服务。</w:t>
      </w:r>
    </w:p>
    <w:p w14:paraId="73DE840A">
      <w:pPr>
        <w:spacing w:line="360" w:lineRule="auto"/>
        <w:ind w:firstLine="480" w:firstLineChars="200"/>
        <w:jc w:val="left"/>
        <w:rPr>
          <w:rFonts w:hint="eastAsia" w:ascii="宋体" w:hAnsi="宋体" w:eastAsia="宋体" w:cs="宋体"/>
          <w:color w:val="auto"/>
          <w:sz w:val="24"/>
          <w:szCs w:val="24"/>
          <w:highlight w:val="none"/>
        </w:rPr>
      </w:pPr>
      <w:r>
        <w:rPr>
          <w:rFonts w:hint="eastAsia" w:hAnsi="宋体" w:cs="宋体"/>
          <w:color w:val="auto"/>
          <w:sz w:val="24"/>
          <w:szCs w:val="24"/>
          <w:highlight w:val="none"/>
          <w:lang w:val="en-US" w:eastAsia="zh-CN"/>
        </w:rPr>
        <w:t>⑤</w:t>
      </w:r>
      <w:r>
        <w:rPr>
          <w:rFonts w:hint="eastAsia" w:ascii="宋体" w:hAnsi="宋体" w:eastAsia="宋体" w:cs="宋体"/>
          <w:color w:val="auto"/>
          <w:sz w:val="24"/>
          <w:szCs w:val="24"/>
          <w:highlight w:val="none"/>
        </w:rPr>
        <w:t>验收条件：服务成果经相关专家审查通过验收。</w:t>
      </w:r>
    </w:p>
    <w:p w14:paraId="7C8FD76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验收依据：合同文本、磋商文件、磋商响应文件。国内相应的标准、规范。</w:t>
      </w:r>
    </w:p>
    <w:p w14:paraId="1796DFA7">
      <w:pPr>
        <w:tabs>
          <w:tab w:val="left" w:pos="1155"/>
        </w:tabs>
        <w:overflowPunct w:val="0"/>
        <w:topLinePunct/>
        <w:spacing w:line="440" w:lineRule="exact"/>
        <w:ind w:firstLine="513" w:firstLineChars="213"/>
        <w:rPr>
          <w:rFonts w:hint="eastAsia" w:ascii="宋体" w:hAnsi="宋体" w:eastAsia="宋体" w:cs="宋体"/>
          <w:b/>
          <w:bCs/>
          <w:color w:val="auto"/>
          <w:sz w:val="24"/>
          <w:highlight w:val="none"/>
        </w:rPr>
      </w:pPr>
      <w:bookmarkStart w:id="27" w:name="_Toc8194605"/>
      <w:bookmarkStart w:id="28" w:name="_Toc389553750"/>
      <w:r>
        <w:rPr>
          <w:rFonts w:hint="eastAsia" w:ascii="宋体" w:hAnsi="宋体" w:eastAsia="宋体" w:cs="宋体"/>
          <w:b/>
          <w:bCs/>
          <w:color w:val="auto"/>
          <w:sz w:val="24"/>
          <w:highlight w:val="none"/>
        </w:rPr>
        <w:t>12．其它</w:t>
      </w:r>
      <w:bookmarkEnd w:id="27"/>
      <w:bookmarkEnd w:id="28"/>
    </w:p>
    <w:p w14:paraId="694CF626">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12.1 保险（如有时）：编制人办理自己在现场人员生命财产和有关设备的保险并支付一切费用；</w:t>
      </w:r>
    </w:p>
    <w:p w14:paraId="45C96379">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12.2 由于不可抗力因素致使合同无法履行时，双方应及时协商解决；</w:t>
      </w:r>
    </w:p>
    <w:p w14:paraId="4DA88A11">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12.3 编制人为本合同项目所采用的国家或地方标准图，由编制人自费向有关出版部门购买；</w:t>
      </w:r>
    </w:p>
    <w:p w14:paraId="2931D548">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12.4 本合同未尽事宜，双方可签订补充协议作为附件，补充协议与合同具有同等法律效力；</w:t>
      </w:r>
    </w:p>
    <w:p w14:paraId="081C5D9C">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12.5 合同有效期：本合同经双方代表签字盖章后生效，在全部项目实施完成和双方结清所有合同费用后自行失效 ；</w:t>
      </w:r>
    </w:p>
    <w:p w14:paraId="1213A8BC">
      <w:pPr>
        <w:tabs>
          <w:tab w:val="left" w:pos="1155"/>
        </w:tabs>
        <w:overflowPunct w:val="0"/>
        <w:topLinePunct/>
        <w:spacing w:line="440" w:lineRule="exact"/>
        <w:ind w:firstLine="511" w:firstLineChars="213"/>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11.6 份数：合同正本2份，副本6份，合同正本、副本具有同等效力，由委托、被委托双方签字盖章后分别保存，份数由双方协定。</w:t>
      </w:r>
    </w:p>
    <w:bookmarkEnd w:id="9"/>
    <w:p w14:paraId="7EB70339">
      <w:pPr>
        <w:rPr>
          <w:rFonts w:hint="eastAsia" w:ascii="宋体" w:hAnsi="宋体" w:eastAsia="宋体" w:cs="宋体"/>
          <w:color w:val="auto"/>
          <w:highlight w:val="none"/>
        </w:rPr>
      </w:pPr>
    </w:p>
    <w:p w14:paraId="7CE02168">
      <w:pPr>
        <w:rPr>
          <w:rFonts w:hint="eastAsia" w:ascii="宋体" w:hAnsi="宋体" w:eastAsia="宋体" w:cs="宋体"/>
          <w:color w:val="auto"/>
          <w:sz w:val="24"/>
          <w:szCs w:val="24"/>
          <w:highlight w:val="none"/>
          <w:u w:val="none"/>
        </w:rPr>
      </w:pPr>
    </w:p>
    <w:p w14:paraId="149E124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本页为签署盖章页，无正文</w:t>
      </w:r>
      <w:r>
        <w:rPr>
          <w:rFonts w:hint="eastAsia" w:ascii="宋体" w:hAnsi="宋体" w:eastAsia="宋体" w:cs="宋体"/>
          <w:b/>
          <w:bCs/>
          <w:color w:val="auto"/>
          <w:sz w:val="24"/>
          <w:szCs w:val="24"/>
          <w:highlight w:val="none"/>
          <w:lang w:eastAsia="zh-CN"/>
        </w:rPr>
        <w:t>】</w:t>
      </w:r>
    </w:p>
    <w:p w14:paraId="697E10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0FB1A9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甲方（盖章）：                        乙方（盖章）：</w:t>
      </w:r>
    </w:p>
    <w:p w14:paraId="497CC0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val="en-US" w:eastAsia="zh-CN"/>
        </w:rPr>
        <w:t>法定</w:t>
      </w:r>
      <w:r>
        <w:rPr>
          <w:rFonts w:hint="eastAsia" w:ascii="宋体" w:hAnsi="宋体" w:eastAsia="宋体" w:cs="宋体"/>
          <w:color w:val="auto"/>
          <w:sz w:val="24"/>
          <w:szCs w:val="24"/>
          <w:highlight w:val="none"/>
          <w:u w:val="none"/>
        </w:rPr>
        <w:t>代表</w:t>
      </w:r>
      <w:r>
        <w:rPr>
          <w:rFonts w:hint="eastAsia" w:ascii="宋体" w:hAnsi="宋体" w:eastAsia="宋体" w:cs="宋体"/>
          <w:color w:val="auto"/>
          <w:sz w:val="24"/>
          <w:szCs w:val="24"/>
          <w:highlight w:val="none"/>
          <w:u w:val="none"/>
          <w:lang w:val="en-US" w:eastAsia="zh-CN"/>
        </w:rPr>
        <w:t>人</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法定</w:t>
      </w:r>
      <w:r>
        <w:rPr>
          <w:rFonts w:hint="eastAsia" w:ascii="宋体" w:hAnsi="宋体" w:eastAsia="宋体" w:cs="宋体"/>
          <w:color w:val="auto"/>
          <w:sz w:val="24"/>
          <w:szCs w:val="24"/>
          <w:highlight w:val="none"/>
          <w:u w:val="none"/>
        </w:rPr>
        <w:t>代表</w:t>
      </w:r>
      <w:r>
        <w:rPr>
          <w:rFonts w:hint="eastAsia" w:ascii="宋体" w:hAnsi="宋体" w:eastAsia="宋体" w:cs="宋体"/>
          <w:color w:val="auto"/>
          <w:sz w:val="24"/>
          <w:szCs w:val="24"/>
          <w:highlight w:val="none"/>
          <w:u w:val="none"/>
          <w:lang w:val="en-US" w:eastAsia="zh-CN"/>
        </w:rPr>
        <w:t>人</w:t>
      </w:r>
      <w:r>
        <w:rPr>
          <w:rFonts w:hint="eastAsia" w:ascii="宋体" w:hAnsi="宋体" w:eastAsia="宋体" w:cs="宋体"/>
          <w:color w:val="auto"/>
          <w:sz w:val="24"/>
          <w:szCs w:val="24"/>
          <w:highlight w:val="none"/>
          <w:u w:val="none"/>
        </w:rPr>
        <w:t>：：</w:t>
      </w:r>
    </w:p>
    <w:p w14:paraId="5B0CA0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委托代理人：                          委托代理人：</w:t>
      </w:r>
    </w:p>
    <w:p w14:paraId="30BA87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电话：                                电话：</w:t>
      </w:r>
    </w:p>
    <w:p w14:paraId="4D640A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 xml:space="preserve">地址：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地址：</w:t>
      </w:r>
    </w:p>
    <w:p w14:paraId="3AA1804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jc w:val="left"/>
        <w:textAlignment w:val="auto"/>
      </w:pPr>
      <w:r>
        <w:rPr>
          <w:rFonts w:hint="eastAsia" w:ascii="宋体" w:hAnsi="宋体" w:eastAsia="宋体" w:cs="宋体"/>
          <w:color w:val="auto"/>
          <w:sz w:val="24"/>
          <w:szCs w:val="24"/>
          <w:highlight w:val="none"/>
          <w:u w:val="none"/>
        </w:rPr>
        <w:t>签订日期：   年   月  日</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签订日期：   年   月  日</w:t>
      </w:r>
      <w:bookmarkStart w:id="29" w:name="_GoBack"/>
      <w:bookmarkEnd w:id="29"/>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2CE2F">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7B9EFD">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D7B9EFD">
                    <w:pPr>
                      <w:pStyle w:val="5"/>
                    </w:pPr>
                    <w:r>
                      <w:fldChar w:fldCharType="begin"/>
                    </w:r>
                    <w:r>
                      <w:instrText xml:space="preserve"> PAGE  \* MERGEFORMAT </w:instrText>
                    </w:r>
                    <w:r>
                      <w:fldChar w:fldCharType="separate"/>
                    </w:r>
                    <w:r>
                      <w:t>2</w:t>
                    </w:r>
                    <w:r>
                      <w:fldChar w:fldCharType="end"/>
                    </w:r>
                  </w:p>
                </w:txbxContent>
              </v:textbox>
            </v:shape>
          </w:pict>
        </mc:Fallback>
      </mc:AlternateContent>
    </w: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2" name="矩形 2"/>
              <wp:cNvGraphicFramePr/>
              <a:graphic xmlns:a="http://schemas.openxmlformats.org/drawingml/2006/main">
                <a:graphicData uri="http://schemas.microsoft.com/office/word/2010/wordprocessingShape">
                  <wps:wsp>
                    <wps:cNvSpPr/>
                    <wps:spPr>
                      <a:xfrm>
                        <a:off x="0" y="0"/>
                        <a:ext cx="114935" cy="147955"/>
                      </a:xfrm>
                      <a:prstGeom prst="rect">
                        <a:avLst/>
                      </a:prstGeom>
                      <a:noFill/>
                      <a:ln>
                        <a:noFill/>
                      </a:ln>
                      <a:effectLst/>
                    </wps:spPr>
                    <wps:txbx>
                      <w:txbxContent>
                        <w:p w14:paraId="5F89DD42">
                          <w:pPr>
                            <w:pStyle w:val="5"/>
                          </w:pPr>
                        </w:p>
                      </w:txbxContent>
                    </wps:txbx>
                    <wps:bodyPr wrap="none" lIns="0" tIns="0" rIns="0" bIns="0" upright="1">
                      <a:spAutoFit/>
                    </wps:bodyPr>
                  </wps:wsp>
                </a:graphicData>
              </a:graphic>
            </wp:anchor>
          </w:drawing>
        </mc:Choice>
        <mc:Fallback>
          <w:pict>
            <v:rect id="_x0000_s1026" o:spid="_x0000_s1026" o:spt="1"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Bz/E4TRAAAAAwEAAA8AAAAAAAAAAQAgAAAAIgAAAGRycy9kb3ducmV2&#10;LnhtbFBLAQIUABQAAAAIAIdO4kDUee9OygEAAJgDAAAOAAAAAAAAAAEAIAAAACABAABkcnMvZTJv&#10;RG9jLnhtbFBLBQYAAAAABgAGAFkBAABcBQAAAAA=&#10;">
              <v:fill on="f" focussize="0,0"/>
              <v:stroke on="f"/>
              <v:imagedata o:title=""/>
              <o:lock v:ext="edit" aspectratio="f"/>
              <v:textbox inset="0mm,0mm,0mm,0mm" style="mso-fit-shape-to-text:t;">
                <w:txbxContent>
                  <w:p w14:paraId="5F89DD42">
                    <w:pPr>
                      <w:pStyle w:val="5"/>
                    </w:pP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3994CA"/>
    <w:multiLevelType w:val="singleLevel"/>
    <w:tmpl w:val="133994C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E6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Plain Text"/>
    <w:basedOn w:val="1"/>
    <w:qFormat/>
    <w:uiPriority w:val="0"/>
    <w:rPr>
      <w:rFonts w:ascii="宋体" w:hAnsi="Courier New" w:cs="Courier New"/>
      <w:szCs w:val="21"/>
    </w:rPr>
  </w:style>
  <w:style w:type="paragraph" w:styleId="5">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Body Text First Indent"/>
    <w:basedOn w:val="2"/>
    <w:next w:val="7"/>
    <w:unhideWhenUsed/>
    <w:qFormat/>
    <w:uiPriority w:val="99"/>
    <w:pPr>
      <w:ind w:firstLine="420" w:firstLineChars="100"/>
    </w:pPr>
  </w:style>
  <w:style w:type="paragraph" w:styleId="7">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0">
    <w:name w:val="样式1"/>
    <w:basedOn w:val="1"/>
    <w:qFormat/>
    <w:uiPriority w:val="0"/>
    <w:rPr>
      <w:rFonts w:ascii="黑体" w:hAnsi="宋体" w:cs="黑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2026-05-06T09:13:59Z</dcterms:created>
  <dc:creator>Administrator</dc:creator>
  <cp:lastModifiedBy>1</cp:lastModifiedBy>
  <dcterms:modified xsi:type="dcterms:W3CDTF">2026-05-06T09:14:33Z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A08F10CAA9FA4A3ABADE2D781181115A_12</vt:lpwstr>
  </property>
</Properties>
</file>