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版本号：HXGJXM2026-ZC-CS1011.1B120260519001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陕西省船舶碰撞桥梁安全风险隐患排查治理技术支持(二次)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HXGJXM2026-ZC-CS1011.1B1</w:t>
      </w:r>
      <w:r>
        <w:br/>
      </w:r>
      <w:r>
        <w:br/>
      </w:r>
      <w:r>
        <w:br/>
      </w:r>
    </w:p>
    <w:p>
      <w:pPr>
        <w:pStyle w:val="null3"/>
        <w:jc w:val="center"/>
        <w:outlineLvl w:val="2"/>
      </w:pPr>
      <w:r>
        <w:rPr>
          <w:rFonts w:ascii="仿宋_GB2312" w:hAnsi="仿宋_GB2312" w:cs="仿宋_GB2312" w:eastAsia="仿宋_GB2312"/>
          <w:sz w:val="28"/>
          <w:b/>
        </w:rPr>
        <w:t>陕西省水路交通事业发展中心</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陕西省水路交通事业发展中心</w:t>
      </w:r>
      <w:r>
        <w:rPr>
          <w:rFonts w:ascii="仿宋_GB2312" w:hAnsi="仿宋_GB2312" w:cs="仿宋_GB2312" w:eastAsia="仿宋_GB2312"/>
        </w:rPr>
        <w:t>委托，拟对</w:t>
      </w:r>
      <w:r>
        <w:rPr>
          <w:rFonts w:ascii="仿宋_GB2312" w:hAnsi="仿宋_GB2312" w:cs="仿宋_GB2312" w:eastAsia="仿宋_GB2312"/>
        </w:rPr>
        <w:t>陕西省船舶碰撞桥梁安全风险隐患排查治理技术支持(二次)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HXGJXM2026-ZC-CS1011.1B1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陕西省船舶碰撞桥梁安全风险隐患排查治理技术支持(二次)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水路交通事业发展中心陕西省船舶碰撞桥梁安全风险隐患排查治理技术支持，工作内容包含基础资料收集与现场踏勘、编制省级排查技术细则、隐患自查技术审定与隐患定级、制定分类治理方案、整治跟踪与效果评估、构建信息平台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证明：法定代表人授权书，附法定代表人、被授权人身份证复印件及被授权人磋商截止日前一年内已缴存的至少一个月的社会保障资金凭证（法定代表人直接参加磋商，须提供法定代表人身份证明及身份证复印件）</w:t>
      </w:r>
    </w:p>
    <w:p>
      <w:pPr>
        <w:pStyle w:val="null3"/>
      </w:pPr>
      <w:r>
        <w:rPr>
          <w:rFonts w:ascii="仿宋_GB2312" w:hAnsi="仿宋_GB2312" w:cs="仿宋_GB2312" w:eastAsia="仿宋_GB2312"/>
        </w:rPr>
        <w:t>2、资质证书：具有公路行业(特大桥梁)专业工程设计甲级资质(或公路行业工程设计甲级资质或工程设计综合甲级资质）；</w:t>
      </w:r>
    </w:p>
    <w:p>
      <w:pPr>
        <w:pStyle w:val="null3"/>
      </w:pPr>
      <w:r>
        <w:rPr>
          <w:rFonts w:ascii="仿宋_GB2312" w:hAnsi="仿宋_GB2312" w:cs="仿宋_GB2312" w:eastAsia="仿宋_GB2312"/>
        </w:rPr>
        <w:t>3、项目负责人：项目负责人具备桥梁工程相关专业高级技术职称；</w:t>
      </w:r>
    </w:p>
    <w:p>
      <w:pPr>
        <w:pStyle w:val="null3"/>
      </w:pPr>
      <w:r>
        <w:rPr>
          <w:rFonts w:ascii="仿宋_GB2312" w:hAnsi="仿宋_GB2312" w:cs="仿宋_GB2312" w:eastAsia="仿宋_GB2312"/>
        </w:rPr>
        <w:t>4、信用记录：供应商应在磋商截止日前未被列入失信被执行人、重大税收违法失信主体、政府采购严重违法失信行为记录名单（处罚期限届满的除外）（以“信用中国”网站（www.creditchina.gov.cn）或中国政府采购网（www.ccgp.gov.cn）查询结果为准。</w:t>
      </w:r>
    </w:p>
    <w:p>
      <w:pPr>
        <w:pStyle w:val="null3"/>
      </w:pPr>
      <w:r>
        <w:rPr>
          <w:rFonts w:ascii="仿宋_GB2312" w:hAnsi="仿宋_GB2312" w:cs="仿宋_GB2312" w:eastAsia="仿宋_GB2312"/>
        </w:rPr>
        <w:t>5、是否接受联合体：本项目不接受联合体磋商。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陕西省水路交通事业发展中心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西安市莲湖区药王洞18号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029-87347491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王攀宏、陆文科、康敏茹、张艳萍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029-88899970/72/73/75-802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开户名称：华夏国际项目管理（西安）有限公司（转账时备注项目编号）</w:t>
            </w:r>
          </w:p>
          <w:p>
            <w:pPr>
              <w:pStyle w:val="null3"/>
            </w:pPr>
            <w:r>
              <w:rPr>
                <w:rFonts w:ascii="仿宋_GB2312" w:hAnsi="仿宋_GB2312" w:cs="仿宋_GB2312" w:eastAsia="仿宋_GB2312"/>
              </w:rPr>
              <w:t>开户银行：中国工商银行股份有限公司西安城南科技支行</w:t>
            </w:r>
          </w:p>
          <w:p>
            <w:pPr>
              <w:pStyle w:val="null3"/>
            </w:pPr>
            <w:r>
              <w:rPr>
                <w:rFonts w:ascii="仿宋_GB2312" w:hAnsi="仿宋_GB2312" w:cs="仿宋_GB2312" w:eastAsia="仿宋_GB2312"/>
              </w:rPr>
              <w:t>银行账号：3700024819200130193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为合同金额的5%，提交方式为：支票、汇票、本票或者金融机构、担保机构出具的保函。鼓励供应商优先使用电子保函形式提交，以降低资金占用成本。在签订政府采购合同前，中标供应商向采购人缴纳履约保证金，最终验收合格后采购人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代理服务费收费标准：按照双方协商的固定总价计取 名称：华夏国际项目管理（西安）有限公司第一分公司 开户行：中国光大银行股份有限公司西安科技六路支行 银行账号：78620188000199459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陕西省水路交通事业发展中心</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陕西省水路交通事业发展中心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陕西省水路交通事业发展中心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技术履约内容 ①技术服务内容： 1.陕西省船舶碰撞桥梁安全风险隐患排查技术细则 2.隐惠排查报告 3.全省隐患处置效果评估报告 4.“一桥一档”数据库 5.“全省一张图”可视化展示 ②成果资料 提交成果资料包括纸质版10套，电子版1份。 ③成果和资料的保密与归属 乙方在项目实施过程中形成的所有原始资料、中间及最终成果归甲方所有；乙方相关服务资料的所有权、使用权的约定：归甲方所有。乙方不得以任何借口留存，否则承担由此产生的一切法律和经济责任。未经甲方允许，任何单位和个人不得转让和使用本项目的相关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联系人：王攀宏、陆文科、康敏茹、张艳萍</w:t>
      </w:r>
    </w:p>
    <w:p>
      <w:pPr>
        <w:pStyle w:val="null3"/>
      </w:pPr>
      <w:r>
        <w:rPr>
          <w:rFonts w:ascii="仿宋_GB2312" w:hAnsi="仿宋_GB2312" w:cs="仿宋_GB2312" w:eastAsia="仿宋_GB2312"/>
        </w:rPr>
        <w:t>联系电话：029-88899970/72/73/75-802</w:t>
      </w:r>
    </w:p>
    <w:p>
      <w:pPr>
        <w:pStyle w:val="null3"/>
      </w:pPr>
      <w:r>
        <w:rPr>
          <w:rFonts w:ascii="仿宋_GB2312" w:hAnsi="仿宋_GB2312" w:cs="仿宋_GB2312" w:eastAsia="仿宋_GB2312"/>
        </w:rPr>
        <w:t>地址：陕西省西安市莲湖区二环南路西段202号九座花园16层1605室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水路交通事业发展中心陕西省船舶碰撞桥梁安全风险隐患排查治理技术支持，工作内容包含基础资料收集与现场踏勘、编制省级排查技术细则、隐患自查技术审定与隐患定级、制定分类治理方案、整治跟踪与效果评估、构建信息平台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技术咨询服务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标的名称：技术咨询服务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一、工作内容</w:t>
            </w:r>
          </w:p>
          <w:p>
            <w:pPr>
              <w:pStyle w:val="null3"/>
            </w:pPr>
            <w:r>
              <w:rPr>
                <w:rFonts w:ascii="仿宋_GB2312" w:hAnsi="仿宋_GB2312" w:cs="仿宋_GB2312" w:eastAsia="仿宋_GB2312"/>
              </w:rPr>
              <w:t>（1）基础资料收集与现场踏勘</w:t>
            </w:r>
          </w:p>
          <w:p>
            <w:pPr>
              <w:pStyle w:val="null3"/>
            </w:pPr>
            <w:r>
              <w:rPr>
                <w:rFonts w:ascii="仿宋_GB2312" w:hAnsi="仿宋_GB2312" w:cs="仿宋_GB2312" w:eastAsia="仿宋_GB2312"/>
              </w:rPr>
              <w:t>全面摸排辖区内通航桥梁，逐桥开展基础资料收集及桥梁安全风险隐患现场路勘工作。</w:t>
            </w:r>
          </w:p>
          <w:p>
            <w:pPr>
              <w:pStyle w:val="null3"/>
            </w:pPr>
            <w:r>
              <w:rPr>
                <w:rFonts w:ascii="仿宋_GB2312" w:hAnsi="仿宋_GB2312" w:cs="仿宋_GB2312" w:eastAsia="仿宋_GB2312"/>
              </w:rPr>
              <w:t>（2）编制省级排查技术细则</w:t>
            </w:r>
          </w:p>
          <w:p>
            <w:pPr>
              <w:pStyle w:val="null3"/>
            </w:pPr>
            <w:r>
              <w:rPr>
                <w:rFonts w:ascii="仿宋_GB2312" w:hAnsi="仿宋_GB2312" w:cs="仿宋_GB2312" w:eastAsia="仿宋_GB2312"/>
              </w:rPr>
              <w:t>依据《船舶碰撞桥梁安全风险隐患判定标准和排查技术指南》，结合陕西省水域特点与桥梁结构特征，制定适用于本省的排查实施细目和操作指引。</w:t>
            </w:r>
          </w:p>
          <w:p>
            <w:pPr>
              <w:pStyle w:val="null3"/>
            </w:pPr>
            <w:r>
              <w:rPr>
                <w:rFonts w:ascii="仿宋_GB2312" w:hAnsi="仿宋_GB2312" w:cs="仿宋_GB2312" w:eastAsia="仿宋_GB2312"/>
              </w:rPr>
              <w:t>（3）隐患自查技术审定与隐患定级</w:t>
            </w:r>
          </w:p>
          <w:p>
            <w:pPr>
              <w:pStyle w:val="null3"/>
            </w:pPr>
            <w:r>
              <w:rPr>
                <w:rFonts w:ascii="仿宋_GB2312" w:hAnsi="仿宋_GB2312" w:cs="仿宋_GB2312" w:eastAsia="仿宋_GB2312"/>
              </w:rPr>
              <w:t>指导各单位开展隐患自查，并对隐患排查结果进行技术审定，明确风险等级。</w:t>
            </w:r>
          </w:p>
          <w:p>
            <w:pPr>
              <w:pStyle w:val="null3"/>
            </w:pPr>
            <w:r>
              <w:rPr>
                <w:rFonts w:ascii="仿宋_GB2312" w:hAnsi="仿宋_GB2312" w:cs="仿宋_GB2312" w:eastAsia="仿宋_GB2312"/>
              </w:rPr>
              <w:t>（4）制定分类治理方案</w:t>
            </w:r>
          </w:p>
          <w:p>
            <w:pPr>
              <w:pStyle w:val="null3"/>
            </w:pPr>
            <w:r>
              <w:rPr>
                <w:rFonts w:ascii="仿宋_GB2312" w:hAnsi="仿宋_GB2312" w:cs="仿宋_GB2312" w:eastAsia="仿宋_GB2312"/>
              </w:rPr>
              <w:t>根据隐患台账，对排查隐患分类施策，制定针对性治理方案。</w:t>
            </w:r>
          </w:p>
          <w:p>
            <w:pPr>
              <w:pStyle w:val="null3"/>
            </w:pPr>
            <w:r>
              <w:rPr>
                <w:rFonts w:ascii="仿宋_GB2312" w:hAnsi="仿宋_GB2312" w:cs="仿宋_GB2312" w:eastAsia="仿宋_GB2312"/>
              </w:rPr>
              <w:t>（5）整治跟踪与效果评估</w:t>
            </w:r>
          </w:p>
          <w:p>
            <w:pPr>
              <w:pStyle w:val="null3"/>
            </w:pPr>
            <w:r>
              <w:rPr>
                <w:rFonts w:ascii="仿宋_GB2312" w:hAnsi="仿宋_GB2312" w:cs="仿宋_GB2312" w:eastAsia="仿宋_GB2312"/>
              </w:rPr>
              <w:t>对整治过程进行现场跟踪与技术指导，指导整改验收，汇总形成全省隐患处置效果评估结论。</w:t>
            </w:r>
          </w:p>
          <w:p>
            <w:pPr>
              <w:pStyle w:val="null3"/>
            </w:pPr>
            <w:r>
              <w:rPr>
                <w:rFonts w:ascii="仿宋_GB2312" w:hAnsi="仿宋_GB2312" w:cs="仿宋_GB2312" w:eastAsia="仿宋_GB2312"/>
              </w:rPr>
              <w:t>（6）构建信息平台</w:t>
            </w:r>
          </w:p>
          <w:p>
            <w:pPr>
              <w:pStyle w:val="null3"/>
            </w:pPr>
            <w:r>
              <w:rPr>
                <w:rFonts w:ascii="仿宋_GB2312" w:hAnsi="仿宋_GB2312" w:cs="仿宋_GB2312" w:eastAsia="仿宋_GB2312"/>
              </w:rPr>
              <w:t>建立全省分级安全风险隐患数据库，实现“一桥一档”电子化管理和“全省一张图”可视化展示。</w:t>
            </w:r>
          </w:p>
          <w:p>
            <w:pPr>
              <w:pStyle w:val="null3"/>
            </w:pPr>
            <w:r>
              <w:rPr>
                <w:rFonts w:ascii="仿宋_GB2312" w:hAnsi="仿宋_GB2312" w:cs="仿宋_GB2312" w:eastAsia="仿宋_GB2312"/>
              </w:rPr>
              <w:t>二、交付内容</w:t>
            </w:r>
          </w:p>
          <w:p>
            <w:pPr>
              <w:pStyle w:val="null3"/>
            </w:pPr>
            <w:r>
              <w:rPr>
                <w:rFonts w:ascii="仿宋_GB2312" w:hAnsi="仿宋_GB2312" w:cs="仿宋_GB2312" w:eastAsia="仿宋_GB2312"/>
              </w:rPr>
              <w:t>（1）陕西省船舶碰撞桥梁安全风险隐患排查技术细则</w:t>
            </w:r>
          </w:p>
          <w:p>
            <w:pPr>
              <w:pStyle w:val="null3"/>
            </w:pPr>
            <w:r>
              <w:rPr>
                <w:rFonts w:ascii="仿宋_GB2312" w:hAnsi="仿宋_GB2312" w:cs="仿宋_GB2312" w:eastAsia="仿宋_GB2312"/>
              </w:rPr>
              <w:t>结合陕西省水域特点与桥梁结构特征，制定适用于陕西省的船舶碰撞桥梁安全风险隐患排查实施细目和操作指引。</w:t>
            </w:r>
          </w:p>
          <w:p>
            <w:pPr>
              <w:pStyle w:val="null3"/>
            </w:pPr>
            <w:r>
              <w:rPr>
                <w:rFonts w:ascii="仿宋_GB2312" w:hAnsi="仿宋_GB2312" w:cs="仿宋_GB2312" w:eastAsia="仿宋_GB2312"/>
              </w:rPr>
              <w:t>（2）隐患排查报告</w:t>
            </w:r>
          </w:p>
          <w:p>
            <w:pPr>
              <w:pStyle w:val="null3"/>
            </w:pPr>
            <w:r>
              <w:rPr>
                <w:rFonts w:ascii="仿宋_GB2312" w:hAnsi="仿宋_GB2312" w:cs="仿宋_GB2312" w:eastAsia="仿宋_GB2312"/>
              </w:rPr>
              <w:t>基于现场探勘、数据核查及风险评价成果，编制全省船舶碰撞桥梁安全风险隐患排查报告。</w:t>
            </w:r>
          </w:p>
          <w:p>
            <w:pPr>
              <w:pStyle w:val="null3"/>
            </w:pPr>
            <w:r>
              <w:rPr>
                <w:rFonts w:ascii="仿宋_GB2312" w:hAnsi="仿宋_GB2312" w:cs="仿宋_GB2312" w:eastAsia="仿宋_GB2312"/>
              </w:rPr>
              <w:t>（3）全省隐患处置效果评估报告</w:t>
            </w:r>
          </w:p>
          <w:p>
            <w:pPr>
              <w:pStyle w:val="null3"/>
            </w:pPr>
            <w:r>
              <w:rPr>
                <w:rFonts w:ascii="仿宋_GB2312" w:hAnsi="仿宋_GB2312" w:cs="仿宋_GB2312" w:eastAsia="仿宋_GB2312"/>
              </w:rPr>
              <w:t>在年度治理工作末期，基于所有桥梁的隐患台账、整治过程记录和验收报告，编制全省（或全区）的隐患处置效果评估报告。</w:t>
            </w:r>
          </w:p>
          <w:p>
            <w:pPr>
              <w:pStyle w:val="null3"/>
            </w:pPr>
            <w:r>
              <w:rPr>
                <w:rFonts w:ascii="仿宋_GB2312" w:hAnsi="仿宋_GB2312" w:cs="仿宋_GB2312" w:eastAsia="仿宋_GB2312"/>
              </w:rPr>
              <w:t>（4）“一桥一档”数据库</w:t>
            </w:r>
          </w:p>
          <w:p>
            <w:pPr>
              <w:pStyle w:val="null3"/>
            </w:pPr>
            <w:r>
              <w:rPr>
                <w:rFonts w:ascii="仿宋_GB2312" w:hAnsi="仿宋_GB2312" w:cs="仿宋_GB2312" w:eastAsia="仿宋_GB2312"/>
              </w:rPr>
              <w:t>为每座桥梁形成包含桥梁基础信息、安全风险隐患信息及全流程治理信息的独立电子档案。</w:t>
            </w:r>
          </w:p>
          <w:p>
            <w:pPr>
              <w:pStyle w:val="null3"/>
            </w:pPr>
            <w:r>
              <w:rPr>
                <w:rFonts w:ascii="仿宋_GB2312" w:hAnsi="仿宋_GB2312" w:cs="仿宋_GB2312" w:eastAsia="仿宋_GB2312"/>
              </w:rPr>
              <w:t>（5）成果展示</w:t>
            </w:r>
          </w:p>
          <w:p>
            <w:pPr>
              <w:pStyle w:val="null3"/>
            </w:pPr>
            <w:r>
              <w:rPr>
                <w:rFonts w:ascii="仿宋_GB2312" w:hAnsi="仿宋_GB2312" w:cs="仿宋_GB2312" w:eastAsia="仿宋_GB2312"/>
              </w:rPr>
              <w:t>实现“全省一张图”式的宏观展示。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支付约定： 付款条件说明1：合同签订后20日内支付合同总金额的60%； 付款条件说明2：技术支持工作完成后，提交全部工作成果并经发包人确认后20日内，支付合同总金额的40%；或合同履约至2026年12月10日，提交该项目阶段性工作成果及2026年12月11日至合同服务期截止期间的工作计划，经发包人确认后20日内，支付合同总金额的40%。</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自合同生效之日起，至本合同约定的“陕西省船舶碰撞桥梁安全风险隐患排查治理技术支持”工作全部完成，相关成果文件均已提交，并经发包人书面确认后终止。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陕西省水路交通事业发展中心指定地点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以合同、磋商文件、响应文件内容为依据，按标准完成。详见合同约定。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技术支持工作完成后，提交全部工作成果并经发包人确认后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供应商需在项目电子化交易系统中按要求填写《投标函》完成承诺并提供以下资料: (1)提供合格有效的法人或者其他组织的营业执照等证明文件，自然人的身份证明； 供应商是法人或其他组织的应提供营业执照等证明文件，供应商是自然人的应提供有效的自然人身份证明。 (2)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 (3)提供具有履行合同所必需的设备和专业技术能力的承诺； (4)供递交响应文件截止之日前一年内任意一个月的依法缴纳税收的完税证明，完税证明应有税务机关或代收机关的公章或业务专用章。依法免税或无须缴纳税收的供应商，应提供相应证明文件； (5)提供磋商截止日前一年内已缴存的至少一个月的社会保障资金缴存单据或社保机构开具的社会保险参保缴费情况证明，依法不需要缴纳社会保障资金的单位应提供相关证明材料； (6)参加政府采购活动前3年内，在经营活动中没有重大违法记录的书面声明。 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本项目不专门面向中小企业采购。</w:t>
            </w:r>
          </w:p>
        </w:tc>
        <w:tc>
          <w:tcPr>
            <w:tcW w:type="dxa" w:w="3322"/>
          </w:tcPr>
          <w:p>
            <w:pPr>
              <w:pStyle w:val="null3"/>
            </w:pPr>
            <w:r>
              <w:rPr>
                <w:rFonts w:ascii="仿宋_GB2312" w:hAnsi="仿宋_GB2312" w:cs="仿宋_GB2312" w:eastAsia="仿宋_GB2312"/>
              </w:rPr>
              <w:t>/</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法定代表人授权书/法定代表人证明</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法定代表人授权书，附法定代表人、被授权人身份证复印件及被授权人磋商截止日前一年内已缴存的至少一个月的社会保障资金凭证（法定代表人直接参加磋商，须提供法定代表人身份证明及身份证复印件）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具有公路行业(特大桥梁)专业工程设计甲级资质(或公路行业工程设计甲级资质或工程设计综合甲级资质）；</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项目负责人具备桥梁工程相关专业高级技术职称；</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磋商截止日前未被列入失信被执行人、重大税收违法失信主体、政府采购严重违法失信行为记录名单（处罚期限届满的除外）（以“信用中国”网站（www.creditchina.gov.cn）或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是否接受联合体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法定代表人或被授权人的签字或盖章齐全并加盖公章</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提供的服务方案，包含但不限于①对项目总体的理解思路；②工作计划安排及相关对策措施；③后期服务承诺（协助采购人完成该项工作的各类报告编制任务）及保证措施。每一项满分4分，共3项满分12分。 服务方案包含以上内容且齐全、详细、结构完整、表述准确、条理清晰、满足本项目实际需求得12分；以上内容每缺少一项扣4分；有某一项不完整或不符合实际要求或不满足实施要求或套用其他项目内容的每项扣（1-3）分，扣完为止。未提供方案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根据供应商针对本项目提供的技术方案，包含但不限于①基础资料收集与现场踏勘、②编制省级排查技术细则、③隐患自查技术审定与隐患定级、④制定分类治理方案、⑤整治跟踪与效果评估、⑥信息平台构建方案。每一项满分4分，共6项满分24分。 技术方案包含以上内容且齐全、详细、结构完整、表述准确、条理清晰、满足本项目实际需求得24分；以上六项内容每缺少一项扣4分；有某一项不完整或不符合实际要求或不满足实施要求或套用其他项目内容的每项扣（1-3）分，扣完为止。未提供方案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重难点的分析及应对措施</w:t>
            </w:r>
          </w:p>
        </w:tc>
        <w:tc>
          <w:tcPr>
            <w:tcW w:type="dxa" w:w="2492"/>
          </w:tcPr>
          <w:p>
            <w:pPr>
              <w:pStyle w:val="null3"/>
            </w:pPr>
            <w:r>
              <w:rPr>
                <w:rFonts w:ascii="仿宋_GB2312" w:hAnsi="仿宋_GB2312" w:cs="仿宋_GB2312" w:eastAsia="仿宋_GB2312"/>
              </w:rPr>
              <w:t>提供针对本项目重难点的分析及应对措施，未提供不得分。 1.重难点及关键技术问题分析准确，措施具体，针对性强，对策措施有效、可行，得4分； 2.重难点及关键技术问题分析较准确，措施较具体，针对性较强，得3分； 3.重难点及关键技术问题分析满足基本要求，措施一般，得2分。 4.重难点及关键技术问题分析无法满足基本要求，得1分。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提供针对本项目的保密措施，针对本项目提供完整可行的安全保密措施，具备完善的内部保密制度、保密措施，保密措施可行，对每个阶段工作的内容及服务保密，未提供不得分。 1.保密措施全面、合理、有效、可靠性高，得4分； 2.措施较全面、合理，可靠性较高，得3分； 3.措施合理性欠缺，可靠性一般，得2分； 4.措施不合理，内容差，得1分。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确保本项目质量的保障措施</w:t>
            </w:r>
          </w:p>
        </w:tc>
        <w:tc>
          <w:tcPr>
            <w:tcW w:type="dxa" w:w="2492"/>
          </w:tcPr>
          <w:p>
            <w:pPr>
              <w:pStyle w:val="null3"/>
            </w:pPr>
            <w:r>
              <w:rPr>
                <w:rFonts w:ascii="仿宋_GB2312" w:hAnsi="仿宋_GB2312" w:cs="仿宋_GB2312" w:eastAsia="仿宋_GB2312"/>
              </w:rPr>
              <w:t>提供确保本项目质量的保障措施，未提供不得分。 1.质量保障措施描述严谨、完整合理、切实可行，针对性、可行性强，得4分； 2.质量保障措施描述较完整，基本合理，针对性、可行性较强，得3分； 3.质量保障措施描述简单，合理性一般，针对性、可行性一般，得2分。 4.质量保障措施描述不清晰，合理性差，无针对性、可行性差，得1分。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确保本项目进度的保障措施</w:t>
            </w:r>
          </w:p>
        </w:tc>
        <w:tc>
          <w:tcPr>
            <w:tcW w:type="dxa" w:w="2492"/>
          </w:tcPr>
          <w:p>
            <w:pPr>
              <w:pStyle w:val="null3"/>
            </w:pPr>
            <w:r>
              <w:rPr>
                <w:rFonts w:ascii="仿宋_GB2312" w:hAnsi="仿宋_GB2312" w:cs="仿宋_GB2312" w:eastAsia="仿宋_GB2312"/>
              </w:rPr>
              <w:t>提供确保本项目进度的保障措施，未提供不得分。 1.具有科学合理明确的保障措施，时间节点把控清晰明确，对工作推进指导性强，得4分； 2.保障措施较符合实际需求，相关时间节点的把控要求较准确，对工作推进较有指导性，得3分； 3.保证措施简单笼统，相关时间节点的把控要求不准确，对工作推进指导性一般，得2分； 4.保障措施不符合实际需求，对工作推进没有指导性，得1分。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1、项目负责人至少有10年以上工作经验(以工作年限及工作经历为准)，且自2021年1月1日至今至少担任过一项类似项目业绩且担任项目负责人或专业负责人的，得3分，项目负责人业绩可与投标人业绩一致。 注：以上人员须提供执业资格证书或职称证书复印件、注册于供应商本单位的注册工程师登记证书复印件或能够证明其专业的资格证书复印件，以上人员不得互相兼任，不重复计分。未提供不得分。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2、技术负责人具有高级工程师职称的得3分。注：以上人员须提供执业资格证书或职称证书复印件、注册于供应商本单位的注册工程师登记证书复印件或能够证明其专业的资格证书复印件，以上人员不得互相兼任，不重复计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人员配备3</w:t>
            </w:r>
          </w:p>
        </w:tc>
        <w:tc>
          <w:tcPr>
            <w:tcW w:type="dxa" w:w="2492"/>
          </w:tcPr>
          <w:p>
            <w:pPr>
              <w:pStyle w:val="null3"/>
            </w:pPr>
            <w:r>
              <w:rPr>
                <w:rFonts w:ascii="仿宋_GB2312" w:hAnsi="仿宋_GB2312" w:cs="仿宋_GB2312" w:eastAsia="仿宋_GB2312"/>
              </w:rPr>
              <w:t>3、团队其他人员：除项目负责人、技术负责人外，项目团队具有桥梁工程或公路工程或者软件工程或机械工程相关执业资格证书或职称证书的，每提供一个证书得2分，最多得6分。 注：以上人员须提供执业资格证书或职称证书复印件、注册于供应商本单位的注册工程师登记证书复印件或能够证明其专业的资格证书复印件，以上人员不得互相兼任，不重复计分。未提供不得分。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供应商具备有效的ISO9001质量管理体系认证证书、有效的ISO14001环境管理体系认证证书、有效的ISO45001职业健康管理体系认证证书的每提供一个得1分，最多得3分。（提供证书复印件加盖公章）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1.供应商的企业管理体制健全、组织构架清晰、职责分明、信誉度良好得5分； 2.供应商的企业管理体制较健全，组织构架较清晰、职责分明、信誉度较好得3分； 3.供应商的企业管理体制简单笼统得1分； 4.供应商提供的企业经营体制不合理或未提供相关证明资料得0分。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提供的供应商自2021年1月1日以来（以合同签订时间为准）同类业绩（评估、咨询或设计业绩）证明材料，每个有效业绩得2分，满分8分（注：响应文件中提供合同/协议复印件加盖公章装订在磋商文件中，否则不作为评审依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 2、满足磋商文件实质性要求且最终报价最低的供应商的价格为磋商基准价，其价格分为满分20分。 3、磋商报价得分=（磋商基准价/最终磋商报价）×20分。 4、磋商报价不完整的，不进入磋商基准价的计算，本项得0分。 注：报价得分分数保留小数点后两位。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