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版本号：SYCG-CS-2603720260829002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关于2026年宣传展板、横幅、制度牌、宣传手册等制作项目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SYCG-CS-26037</w:t>
      </w:r>
      <w:r>
        <w:br/>
      </w:r>
      <w:r>
        <w:br/>
      </w:r>
      <w:r>
        <w:br/>
      </w:r>
    </w:p>
    <w:p>
      <w:pPr>
        <w:pStyle w:val="null3"/>
        <w:jc w:val="center"/>
        <w:outlineLvl w:val="2"/>
      </w:pPr>
      <w:r>
        <w:rPr>
          <w:rFonts w:ascii="仿宋_GB2312" w:hAnsi="仿宋_GB2312" w:cs="仿宋_GB2312" w:eastAsia="仿宋_GB2312"/>
          <w:sz w:val="28"/>
          <w:b/>
        </w:rPr>
        <w:t>三原县卫生健康局</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三原县卫生健康局</w:t>
      </w:r>
      <w:r>
        <w:rPr>
          <w:rFonts w:ascii="仿宋_GB2312" w:hAnsi="仿宋_GB2312" w:cs="仿宋_GB2312" w:eastAsia="仿宋_GB2312"/>
        </w:rPr>
        <w:t>委托，拟对</w:t>
      </w:r>
      <w:r>
        <w:rPr>
          <w:rFonts w:ascii="仿宋_GB2312" w:hAnsi="仿宋_GB2312" w:cs="仿宋_GB2312" w:eastAsia="仿宋_GB2312"/>
        </w:rPr>
        <w:t>关于2026年宣传展板、横幅、制度牌、宣传手册等制作项目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SYCG-CS-26037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关于2026年宣传展板、横幅、制度牌、宣传手册等制作项目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城关街道卫生院关于2026年宣传展板、横幅、制度牌、宣传手册等制作项目采购项目，根据2026年工作重点及任务，用于国家基本公共卫生项目宣传、院内制度流程公示、健康科普引导，为门诊、住院、健康体检及各类公卫活动提供物料支撑，提升群众知晓率与服务规范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采购包1（关于2026年宣传展板、横幅、制度牌、宣传手册等制作项目）：属于专门面向中小企业采购。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2、法定代表人授权委托书：法定代表人直接参加投标的，须提供法定代表人身份证明、身份证复印件及原件；法定代表人授权代表参加投标的，须提供法定代表人授权委托书、身份证复印件及原件；</w:t>
      </w:r>
    </w:p>
    <w:p>
      <w:pPr>
        <w:pStyle w:val="null3"/>
      </w:pPr>
      <w:r>
        <w:rPr>
          <w:rFonts w:ascii="仿宋_GB2312" w:hAnsi="仿宋_GB2312" w:cs="仿宋_GB2312" w:eastAsia="仿宋_GB2312"/>
        </w:rPr>
        <w:t>3、财务状况报告：供应商提供 2024 或 2025 年经审计的财务报告（审计报告应当经过注册会计师⾏业统⼀监管平台备案赋码，成⽴时间⾄提交投标⽂件截⽌时间不⾜⼀年的可提供成⽴后任意时段的资产负债表），或⾃公告发布之⽇起⾄响应⽂件截⽌时间前其基本存款账⼾开⼾银⾏出具的资信证明，并附基本存款账⼾账号信息；其他组织和⾃然⼈提供银⾏出具的资信证明；</w:t>
      </w:r>
    </w:p>
    <w:p>
      <w:pPr>
        <w:pStyle w:val="null3"/>
      </w:pPr>
      <w:r>
        <w:rPr>
          <w:rFonts w:ascii="仿宋_GB2312" w:hAnsi="仿宋_GB2312" w:cs="仿宋_GB2312" w:eastAsia="仿宋_GB2312"/>
        </w:rPr>
        <w:t>4、税收缴纳证明：提供开标截止时间前半年内至少一个月的纳税证明或完税证明；依法免税的单位应提供相关证明材料；</w:t>
      </w:r>
    </w:p>
    <w:p>
      <w:pPr>
        <w:pStyle w:val="null3"/>
      </w:pPr>
      <w:r>
        <w:rPr>
          <w:rFonts w:ascii="仿宋_GB2312" w:hAnsi="仿宋_GB2312" w:cs="仿宋_GB2312" w:eastAsia="仿宋_GB2312"/>
        </w:rPr>
        <w:t>5、社会保障资金缴纳证明：提供开标截止时间前半年内至少一个月的社保机构开具的社会保险参保缴费情况证明；依法不需要缴纳社会保障资金的单位应提供相关证明材料；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中国：供应商不得为“中国执行信息公开网”网站（zxgk.court.gov.cn/shixin/）中列入失信被执行人和“信用中国”网站（www.creditchina.gov.cn/）列入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7、重大违法记录的书面声明：参加政府采购活动前3年内在经营活动中没有重大违法记录的书面声明</w:t>
      </w:r>
    </w:p>
    <w:p>
      <w:pPr>
        <w:pStyle w:val="null3"/>
      </w:pPr>
      <w:r>
        <w:rPr>
          <w:rFonts w:ascii="仿宋_GB2312" w:hAnsi="仿宋_GB2312" w:cs="仿宋_GB2312" w:eastAsia="仿宋_GB2312"/>
        </w:rPr>
        <w:t>8、非联合体声明：本项目不接受联合体磋商，单位负责人为同一人或者存在直接控股、管理关系的不同供应商，不得参加同一合同项下的政府采购活动。</w:t>
      </w:r>
    </w:p>
    <w:p>
      <w:pPr>
        <w:pStyle w:val="null3"/>
      </w:pPr>
      <w:r>
        <w:rPr>
          <w:rFonts w:ascii="仿宋_GB2312" w:hAnsi="仿宋_GB2312" w:cs="仿宋_GB2312" w:eastAsia="仿宋_GB2312"/>
        </w:rPr>
        <w:t>9、特定资质：供应商须提供有效期内的《印刷经营许可证》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029-32268780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029-32268927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采购包1：478,650.00元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三原县卫生健康局</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三原县卫生健康局</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归甲方所有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按《财政部关于进一步加强政府采购需求和履约验收管理的指导意见》，完成批复内容，质量合格，依法组织履约验收工作。1. 数量标准：所有采购宣传物料数量齐全、无缺漏。2. 规格标准：尺寸、样式、材质完全符合采购及合同要求，统一规范。3. 质量标准：做工完好、印刷清晰、无破损褪色、内容准确无误。4. 交付标准：按期交付到位，安装摆放规范整洁。5. 整体标准：全部货品符合行业标准及院内使用、迎检、宣教工作需求，无质量问题。</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联系电话：029-32268927</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城关街道卫生院关于2026年宣传展板、横幅、制度牌、宣传手册等制作项目采购项目，根据2026年工作重点及任务，用于国家基本公共卫生项目宣传、院内制度流程公示、健康科普引导，为门诊、住院、健康体检及各类公卫活动提供物料支撑，提升群众知晓率与服务规范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478,650.00</w:t>
      </w:r>
    </w:p>
    <w:p>
      <w:pPr>
        <w:pStyle w:val="null3"/>
      </w:pPr>
      <w:r>
        <w:rPr>
          <w:rFonts w:ascii="仿宋_GB2312" w:hAnsi="仿宋_GB2312" w:cs="仿宋_GB2312" w:eastAsia="仿宋_GB2312"/>
        </w:rPr>
        <w:t>采购包最高限价（元）: 478,650.00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关于2026年宣传展板、横幅、制度牌、宣传手册等制作项目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478,650.00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标的名称：关于2026年宣传展板、横幅、制度牌、宣传手册等制作项目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第一，常态化开展基本公共卫生政策普及工作需要配套宣传载体。基层医疗机构承担辖区群众健康宣教核心职责，日常面向辖区居民、就诊群众开展公卫政策解读、惠民服务告知等工作，需依靠各类宣传物料搭建线下宣传阵地，让群众直观读懂公卫相关服务内容，切实提升政策知晓度。</w:t>
            </w:r>
          </w:p>
          <w:p>
            <w:pPr>
              <w:pStyle w:val="null3"/>
            </w:pPr>
            <w:r>
              <w:rPr>
                <w:rFonts w:ascii="仿宋_GB2312" w:hAnsi="仿宋_GB2312" w:cs="仿宋_GB2312" w:eastAsia="仿宋_GB2312"/>
              </w:rPr>
              <w:t xml:space="preserve">  第二，规范院内运营管理，完善制度公示载体。院内诊疗流程、岗位职责、收费规范、医护服务准则等内容需要标准化展示载体进行常态化公示，清晰的公示物料能够方便群众监督就医全流程，同时规范医务人员日常履职标准，理顺院内诊疗服务秩序。</w:t>
            </w:r>
          </w:p>
          <w:p>
            <w:pPr>
              <w:pStyle w:val="null3"/>
            </w:pPr>
            <w:r>
              <w:rPr>
                <w:rFonts w:ascii="仿宋_GB2312" w:hAnsi="仿宋_GB2312" w:cs="仿宋_GB2312" w:eastAsia="仿宋_GB2312"/>
              </w:rPr>
              <w:t xml:space="preserve">  第三，覆盖门诊、住院、健康体检全场景健康科普需求。日常就诊、慢病随访、健康体检等各个服务环节，均需要对应的健康引导物料，向群众普及慢病管控、妇幼保健、老年健康、疾病预防等科普知识，引导群众树立科学健康观念。</w:t>
            </w:r>
          </w:p>
          <w:p>
            <w:pPr>
              <w:pStyle w:val="null3"/>
            </w:pPr>
            <w:r>
              <w:rPr>
                <w:rFonts w:ascii="仿宋_GB2312" w:hAnsi="仿宋_GB2312" w:cs="仿宋_GB2312" w:eastAsia="仿宋_GB2312"/>
              </w:rPr>
              <w:t xml:space="preserve">  第四，保障全年各类公卫主题活动顺利落地。全年会持续开展健康义诊、主题宣教、慢病筛查等线下公卫活动，活动现场需横幅、宣传折页、主题展板作为基础宣传物料支撑，缺少对应物料将导致活动宣传效果大打折扣，难以完成年度宣教工作任务。</w:t>
            </w:r>
          </w:p>
          <w:p>
            <w:pPr>
              <w:pStyle w:val="null3"/>
            </w:pPr>
            <w:r>
              <w:rPr>
                <w:rFonts w:ascii="仿宋_GB2312" w:hAnsi="仿宋_GB2312" w:cs="仿宋_GB2312" w:eastAsia="仿宋_GB2312"/>
              </w:rPr>
              <w:t xml:space="preserve">  第五，搭建顺畅的医患信息沟通渠道。依托统一规范的宣传物料，清晰传递就医指引、惠民福利、健康注意事项，减少医患信息不对称问题，提升群众对基层医疗服务的认可度与配合度，营造和谐就医氛围。 第六，统一院内宣教视觉体系，提升基层医疗服务标准化形象。标准化宣传物料能够整合各类宣教内容，统一院内宣传阵地风貌，补齐现有宣传物料老旧、缺失短板，全面提升卫生院整体规范化服务水平，助力基层医疗卫生服务提质增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三原县城关街道卫生院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执行国家法律、法规和标准。1. 交付：按约定时限送货上门，配齐全部货品。2. 验收标准：货品数量齐全、规格无误，质量合格，内容无误，外观完好无破损。3. 验收方式：现场清点核对，直观查验外观与做工，核对资料内容，无误后签字确认验收。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其他，按照实际工作量分批支付合同金额，达到付款条件起30个工作日内，支付合同总金额的30.0%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其他，完成工作量，达到付款条件起30个工作日内，支付合同总金额的70.0%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本合同在履行过程中发生的与本合同有关的任何争议，有甲、乙双方友好协商解决，协商不成的，由仲裁机构裁决。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法定代表人直接参加投标的，须提供法定代表人身份证明、身份证复印件及原件；法定代表人授权代表参加投标的，须提供法定代表人授权委托书、身份证复印件及原件；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 2024 或 2025 年经审计的财务报告（审计报告应当经过注册会计师⾏业统⼀监管平台备案赋码，成⽴时间⾄提交投标⽂件截⽌时间不⾜⼀年的可提供成⽴后任意时段的资产负债表），或⾃公告发布之⽇起⾄响应⽂件截⽌时间前其基本存款账⼾开⼾银⾏出具的资信证明，并附基本存款账⼾账号信息；其他组织和⾃然⼈提供银⾏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提供开标截止时间前半年内至少一个月的社保机构开具的社会保险参保缴费情况证明；依法不需要缴纳社会保障资金的单位应提供相关证明材料；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中国执行信息公开网”网站（zxgk.court.gov.cn/shixin/）中列入失信被执行人和“信用中国”网站（www.creditchina.gov.cn/）列入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供应商须提供有效期内的《印刷经营许可证》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响应文件构成无重大缺项（详细评审除外）， 按照文件要求的格式编写响应文件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 递交的响应文件与本项目名称一致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服务期限响应文件要求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 无效投标情形</w:t>
            </w:r>
          </w:p>
        </w:tc>
        <w:tc>
          <w:tcPr>
            <w:tcW w:type="dxa" w:w="3322"/>
          </w:tcPr>
          <w:p>
            <w:pPr>
              <w:pStyle w:val="null3"/>
            </w:pPr>
            <w:r>
              <w:rPr>
                <w:rFonts w:ascii="仿宋_GB2312" w:hAnsi="仿宋_GB2312" w:cs="仿宋_GB2312" w:eastAsia="仿宋_GB2312"/>
              </w:rPr>
              <w:t>无法律、法规和招标文件规定的其他无效投标 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印刷方案完整性</w:t>
            </w:r>
          </w:p>
        </w:tc>
        <w:tc>
          <w:tcPr>
            <w:tcW w:type="dxa" w:w="2492"/>
          </w:tcPr>
          <w:p>
            <w:pPr>
              <w:pStyle w:val="null3"/>
            </w:pPr>
            <w:r>
              <w:rPr>
                <w:rFonts w:ascii="仿宋_GB2312" w:hAnsi="仿宋_GB2312" w:cs="仿宋_GB2312" w:eastAsia="仿宋_GB2312"/>
              </w:rPr>
              <w:t>供应商针对本项目的印刷方案完整性包括：①印刷品基本信息②材料选用说明③印刷工艺规划④生产能能力⑤交付计划等内容，每项满分1分，缺项不得分，每项内容存在缺陷，扣0.5分，扣完为止。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设计能力</w:t>
            </w:r>
          </w:p>
        </w:tc>
        <w:tc>
          <w:tcPr>
            <w:tcW w:type="dxa" w:w="2492"/>
          </w:tcPr>
          <w:p>
            <w:pPr>
              <w:pStyle w:val="null3"/>
            </w:pPr>
            <w:r>
              <w:rPr>
                <w:rFonts w:ascii="仿宋_GB2312" w:hAnsi="仿宋_GB2312" w:cs="仿宋_GB2312" w:eastAsia="仿宋_GB2312"/>
              </w:rPr>
              <w:t>供应商针对本项目的设计能力包括：①项目整体设计实施方案②项目技术应用能力等内容，每项满分2分，缺项不得分，每项内容存在缺陷，扣1分，扣完为止。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印刷设备与技术</w:t>
            </w:r>
          </w:p>
        </w:tc>
        <w:tc>
          <w:tcPr>
            <w:tcW w:type="dxa" w:w="2492"/>
          </w:tcPr>
          <w:p>
            <w:pPr>
              <w:pStyle w:val="null3"/>
            </w:pPr>
            <w:r>
              <w:rPr>
                <w:rFonts w:ascii="仿宋_GB2312" w:hAnsi="仿宋_GB2312" w:cs="仿宋_GB2312" w:eastAsia="仿宋_GB2312"/>
              </w:rPr>
              <w:t>供应商针对本项目的印刷设备与技术包括：①设备技术适配性②创新技术应用③设备性能等内容，每项满分2分，缺项不得分，每项内容存在缺陷，扣1分，扣完为止。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质量管控体系</w:t>
            </w:r>
          </w:p>
        </w:tc>
        <w:tc>
          <w:tcPr>
            <w:tcW w:type="dxa" w:w="2492"/>
          </w:tcPr>
          <w:p>
            <w:pPr>
              <w:pStyle w:val="null3"/>
            </w:pPr>
            <w:r>
              <w:rPr>
                <w:rFonts w:ascii="仿宋_GB2312" w:hAnsi="仿宋_GB2312" w:cs="仿宋_GB2312" w:eastAsia="仿宋_GB2312"/>
              </w:rPr>
              <w:t>供应商针对本项目的质量管控体系包括：①从原材料采购检验②印前设计审核③印刷过程动态监控④成品抽样检测⑤质量追溯与持续改进等内容，每项满分1分，缺项不得分，每项内容存在缺陷，扣0.5分，扣完为止。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应急处理能力</w:t>
            </w:r>
          </w:p>
        </w:tc>
        <w:tc>
          <w:tcPr>
            <w:tcW w:type="dxa" w:w="2492"/>
          </w:tcPr>
          <w:p>
            <w:pPr>
              <w:pStyle w:val="null3"/>
            </w:pPr>
            <w:r>
              <w:rPr>
                <w:rFonts w:ascii="仿宋_GB2312" w:hAnsi="仿宋_GB2312" w:cs="仿宋_GB2312" w:eastAsia="仿宋_GB2312"/>
              </w:rPr>
              <w:t>供应商针对本项目的应急处理能力包括：①风险预案制定②设备应急保障③原材料储备与调配④设计与内容调整应对等内容、每项满分1分，缺项不得分，每项内容存在缺陷，扣0.5分，扣完为止。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服务响应速度</w:t>
            </w:r>
          </w:p>
        </w:tc>
        <w:tc>
          <w:tcPr>
            <w:tcW w:type="dxa" w:w="2492"/>
          </w:tcPr>
          <w:p>
            <w:pPr>
              <w:pStyle w:val="null3"/>
            </w:pPr>
            <w:r>
              <w:rPr>
                <w:rFonts w:ascii="仿宋_GB2312" w:hAnsi="仿宋_GB2312" w:cs="仿宋_GB2312" w:eastAsia="仿宋_GB2312"/>
              </w:rPr>
              <w:t>供应商针对本项目的服务响应速度包括：①咨询即时响应②需求快速确认③设计高效反馈④生产异常速解⑤交付提前沟通⑥售后及时响应等内容，每项满分1分，缺项不得分，每项内容存在缺陷，扣0.5分，扣完为止。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绿色环保</w:t>
            </w:r>
          </w:p>
        </w:tc>
        <w:tc>
          <w:tcPr>
            <w:tcW w:type="dxa" w:w="2492"/>
          </w:tcPr>
          <w:p>
            <w:pPr>
              <w:pStyle w:val="null3"/>
            </w:pPr>
            <w:r>
              <w:rPr>
                <w:rFonts w:ascii="仿宋_GB2312" w:hAnsi="仿宋_GB2312" w:cs="仿宋_GB2312" w:eastAsia="仿宋_GB2312"/>
              </w:rPr>
              <w:t>供应商针对本项目的绿色环保包括：①环保管理②低碳工艺等内容， 每项满分2分，缺项不得分，每项内容存在缺陷，扣1分，扣完为止。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项目承诺</w:t>
            </w:r>
          </w:p>
        </w:tc>
        <w:tc>
          <w:tcPr>
            <w:tcW w:type="dxa" w:w="2492"/>
          </w:tcPr>
          <w:p>
            <w:pPr>
              <w:pStyle w:val="null3"/>
            </w:pPr>
            <w:r>
              <w:rPr>
                <w:rFonts w:ascii="仿宋_GB2312" w:hAnsi="仿宋_GB2312" w:cs="仿宋_GB2312" w:eastAsia="仿宋_GB2312"/>
              </w:rPr>
              <w:t>供应商针对本项目的项目承诺包括：①交货期承诺②质量保证承诺③售后支持承诺等内容，每项满分2分，缺项不得分，每项内容存在缺陷，扣1分，扣完为止。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投入本项目专业技术人员，每配备1名合格人员得5分，本项最高得20分。参评人员须为投标单位正式在岗在职人员，提供社保或劳动合同等佐证材料，兼职、外聘、劳务派遣人员不予计分，人员不得重复计分，资料不全或人员不符合要求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供应商针对本项目全部服务内容提供全面、真实、有效的保密承诺得 10 分；未提供本项不得分。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公司业绩</w:t>
            </w:r>
          </w:p>
        </w:tc>
        <w:tc>
          <w:tcPr>
            <w:tcW w:type="dxa" w:w="2492"/>
          </w:tcPr>
          <w:p>
            <w:pPr>
              <w:pStyle w:val="null3"/>
            </w:pPr>
            <w:r>
              <w:rPr>
                <w:rFonts w:ascii="仿宋_GB2312" w:hAnsi="仿宋_GB2312" w:cs="仿宋_GB2312" w:eastAsia="仿宋_GB2312"/>
              </w:rPr>
              <w:t>近三年内（2023年1月-至今）有类似项目业绩的，每份计5分，计满5分为止。注：业绩以中标通知书或合同为准，时间以中标通知书发出时间或合同签订时间为准。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印发《政府采购竞争性磋商采购方式管理暂行办法》的通知财库〔2014〕214号的有关规定：综合评分法中的价格分统一采用低价优先法计算，即满足磋商文件要求且最后报价最低的供应商的价格为磋商基准价，其价格分为满分。其他供应商的价格分统一按照下列公式计算： 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