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4B6C3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bookmarkStart w:id="0" w:name="_GoBack"/>
      <w:r>
        <w:rPr>
          <w:rFonts w:hint="eastAsia" w:ascii="宋体" w:hAnsi="宋体" w:eastAsia="宋体" w:cs="宋体"/>
          <w:b/>
          <w:bCs/>
          <w:i w:val="0"/>
          <w:iCs w:val="0"/>
          <w:caps w:val="0"/>
          <w:color w:val="333333"/>
          <w:spacing w:val="0"/>
          <w:sz w:val="39"/>
          <w:szCs w:val="39"/>
          <w:bdr w:val="none" w:color="auto" w:sz="0" w:space="0"/>
          <w:shd w:val="clear" w:fill="FFFFFF"/>
        </w:rPr>
        <w:t>谈判项目技术、服务、商务及其他要求</w:t>
      </w:r>
      <w:bookmarkEnd w:id="0"/>
    </w:p>
    <w:p w14:paraId="66BEA39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601DFA8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4BFEE47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含室内全彩LED显示屏、控制系统接收卡、压铸铝箱体、LED显示屏屏体安装调试、音频矩阵处理器、调音台、显示控制设备、机柜、辅材辅料等多功能厅LED及音响设备一批及断桥铝门、封门洞、原墙面装饰、LED显示屏墙面造型、保护措施及垃圾下楼外运等及配套改造、改善教学品质与能力提升，要求所有货物（产品）质量标准符合国家、省、市（行业）强制性标准及采购人要求的合格标准、安装调试到位、验收合格达到交钥匙条件。</w:t>
      </w:r>
    </w:p>
    <w:p w14:paraId="7AD5B5A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3.2采购内容</w:t>
      </w:r>
    </w:p>
    <w:p w14:paraId="378595E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36A3B8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137,000.00</w:t>
      </w:r>
    </w:p>
    <w:p w14:paraId="48EE3D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137,000.00</w:t>
      </w:r>
    </w:p>
    <w:p w14:paraId="4B3999A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415342E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3"/>
        <w:gridCol w:w="3052"/>
        <w:gridCol w:w="481"/>
        <w:gridCol w:w="963"/>
        <w:gridCol w:w="481"/>
        <w:gridCol w:w="481"/>
        <w:gridCol w:w="481"/>
        <w:gridCol w:w="481"/>
        <w:gridCol w:w="481"/>
        <w:gridCol w:w="481"/>
        <w:gridCol w:w="481"/>
      </w:tblGrid>
      <w:tr w14:paraId="524DC25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C4F8F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8E2FD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F7911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6D6CA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546F8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2618C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53069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7267D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1725D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9360E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C540F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00C6EA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E7EEA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9635A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2026年度多功能厅LED及音响设备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9B2FBF">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4CF610">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137,000.00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7D432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DCBF4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AAE2B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6F51C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ECF1B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2E388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D910F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bl>
    <w:p w14:paraId="4765451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3.3技术要求</w:t>
      </w:r>
    </w:p>
    <w:p w14:paraId="3629C4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75260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标的名称：2026年度多功能厅LED及音响设备</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4CB2EC7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80FF7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F575C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F08E9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0F05510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882D4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45A54A">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D598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宋体" w:hAnsi="宋体" w:eastAsia="宋体" w:cs="宋体"/>
                <w:color w:val="000000"/>
                <w:sz w:val="22"/>
                <w:szCs w:val="22"/>
                <w:bdr w:val="none" w:color="auto" w:sz="0" w:space="0"/>
              </w:rPr>
              <w:t>1.</w:t>
            </w:r>
            <w:r>
              <w:rPr>
                <w:rFonts w:ascii="仿宋" w:hAnsi="仿宋" w:eastAsia="仿宋" w:cs="仿宋"/>
                <w:color w:val="000000"/>
                <w:sz w:val="22"/>
                <w:szCs w:val="22"/>
                <w:bdr w:val="none" w:color="auto" w:sz="0" w:space="0"/>
              </w:rPr>
              <w:t>采购需求及要求</w:t>
            </w:r>
          </w:p>
          <w:p w14:paraId="371534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1.1采购需求清单：详见附件：2026年度多功能厅LED及音响设备采购需求一览表。</w:t>
            </w:r>
          </w:p>
          <w:p w14:paraId="2625E7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1.2质量标准：（1）所有货物（产品）、服务符合国家、省、市（行业）强制性标准及采购人要求的合格标准；</w:t>
            </w:r>
          </w:p>
          <w:p w14:paraId="65A2C0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5DF3BC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4BDBB2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1.3产品“三包”要求：货物（产品）属于国家规定的“三包产品”，产品制造商、经销代理商应遵守“三包”的规定，在产品发生质量问题时，及时对所提供产品实行“包退、包换、保修”服务。</w:t>
            </w:r>
          </w:p>
          <w:p w14:paraId="5E704D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0EF499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1.5为保证货物（软件和硬件）质量功能的严谨性，中标（成交）后采购人有权要求成交供应商对其所提供的设备（产品）（包含软件和硬件）的功能进行逐一演示，如有功能与实际不相符，一律按虚假应标处理，由成交供应商承担因此产生的一切后果和责任。</w:t>
            </w:r>
          </w:p>
          <w:p w14:paraId="495DFA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1.6供应商应保证投标所提供第三方资料内容真实、完整、准确；如有相关第三方书面声明、相关检测报告等资料虚假，监管部门有权根据调查情形认定其是否属于提供虚假材料谋取中标（成交），并严肃处理。</w:t>
            </w:r>
          </w:p>
          <w:p w14:paraId="2478D5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4E3818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（2）成交供应商负责货物(含软件)的现场安装、调试、测试和启动等。</w:t>
            </w:r>
          </w:p>
          <w:p w14:paraId="3404CF2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54A4A1E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428406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4EC056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22332A4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38EC3E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59C0F8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（9）质保期结束后的其他维修、维护等由双方协商再定。</w:t>
            </w:r>
          </w:p>
          <w:p w14:paraId="5EFE60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2.其他要求或说明</w:t>
            </w:r>
          </w:p>
          <w:p w14:paraId="64CDE1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481C67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1E353E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4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2.3设施设备要求：供应商根据采购项目特性及要求，自行配置投入履行合同所必需的各类设施设备（不限于专业设备、辅助设备、工具、软件等），保证项目顺利实施。</w:t>
            </w:r>
          </w:p>
          <w:p w14:paraId="079D8B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2.4本项目采购标的所属行业为:</w:t>
            </w:r>
            <w:r>
              <w:rPr>
                <w:rFonts w:hint="eastAsia" w:ascii="仿宋" w:hAnsi="仿宋" w:eastAsia="仿宋" w:cs="仿宋"/>
                <w:color w:val="000000"/>
                <w:sz w:val="22"/>
                <w:szCs w:val="22"/>
                <w:u w:val="single"/>
                <w:bdr w:val="none" w:color="auto" w:sz="0" w:space="0"/>
              </w:rPr>
              <w:t> 工业 </w:t>
            </w:r>
            <w:r>
              <w:rPr>
                <w:rFonts w:hint="eastAsia" w:ascii="仿宋" w:hAnsi="仿宋" w:eastAsia="仿宋" w:cs="仿宋"/>
                <w:color w:val="000000"/>
                <w:sz w:val="22"/>
                <w:szCs w:val="22"/>
                <w:bdr w:val="none" w:color="auto" w:sz="0" w:space="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bl>
    <w:p w14:paraId="5496F6C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3.4商务要求</w:t>
      </w:r>
    </w:p>
    <w:p w14:paraId="01B80C6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3.4.1交货时间</w:t>
      </w:r>
    </w:p>
    <w:p w14:paraId="3326FF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17C83B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自合同签订生效之日起20日内完成供货、改造、安装、调试、验收。</w:t>
      </w:r>
    </w:p>
    <w:p w14:paraId="7A9C769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3.4.2交货地点和方式</w:t>
      </w:r>
    </w:p>
    <w:p w14:paraId="0EACE0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037E0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西安市雁塔区第十七幼儿园(具体按采购人指定地点)。</w:t>
      </w:r>
    </w:p>
    <w:p w14:paraId="57A85FC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3.4.3支付方式</w:t>
      </w:r>
    </w:p>
    <w:p w14:paraId="3B00318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AF939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一次付清</w:t>
      </w:r>
    </w:p>
    <w:p w14:paraId="738ABC0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3.4.4支付约定</w:t>
      </w:r>
    </w:p>
    <w:p w14:paraId="703E69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44C8B6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其他，所有货物交货完成，验收合格 (付款前成交供应商应出具等值发票交至采购人，采购人以银行转账方式支付；其他具体按拟签订采购合同相关条款执行)后，达到付款条件起10个工作日内，支付合同总金额的100.0%</w:t>
      </w:r>
    </w:p>
    <w:p w14:paraId="22482DF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3.4.5验收标准和方法</w:t>
      </w:r>
    </w:p>
    <w:p w14:paraId="53321F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A827A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重要依据。采购人根据有关规范、规定及项目要求对成交供应商所供货物（产品）或服务进行检查或验收，成交供应商须无条件的接受采购人检查或验收；若验收不通过或质量不合格，成交供应商应在一定期限进行整改完善，以采购人要求的标准提供合格的货物（产品）或服务；若成交供应商在接受检查整改后，仍不能提供符合采购要求的合格货物（产品）或服务，采购人有权按违约予以撤项并要求承包人承担相应的法律责任和经济损失。具体按拟定合同相关条款执行。</w:t>
      </w:r>
    </w:p>
    <w:p w14:paraId="7EFCB0E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3.4.6包装方式及运输</w:t>
      </w:r>
    </w:p>
    <w:p w14:paraId="48BC8BD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8EDF31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4DA3771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3.4.7质量保修范围和保修期</w:t>
      </w:r>
    </w:p>
    <w:p w14:paraId="43CC763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ABAE31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(一)本项目整体质保期≥24个月，供应商承诺超过采购文件要求的，按其承诺的质保期进行质保，质保期起始时间为终验合格之日。 (二)本项目合同履行期限为自合同签订之日起至质保期结束。中标人应保证在要求时间内完成全部供货、安装、调试、验收和培训工作(或其他伴随服务)等工作，并按其承诺的质量保修范围和内容(售后服务等)进行免费质保，且符合国家标准、行业规范和合同等相关文件的要求。</w:t>
      </w:r>
    </w:p>
    <w:p w14:paraId="5130773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3.4.8违约责任及解决争议的方法</w:t>
      </w:r>
    </w:p>
    <w:p w14:paraId="482ED5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E33B4A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具体按拟定合同相关条款执行。</w:t>
      </w:r>
    </w:p>
    <w:p w14:paraId="32269BA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3.5其他要求</w:t>
      </w:r>
    </w:p>
    <w:p w14:paraId="54CEA9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6C11E9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(一)谈判有效期 1.出现特殊情况需要延长谈判有效期的，采购代理机构或采购人可于谈判有效期满之前，以书面形式通知所有供应商延长谈判有效期。供应商应予书面答复，同意延长的，但不得要求或被允许修改其响应文件；供应商拒绝延长的，其响应文件失效。 2.在谈判有效期内，供应商撤销响应文件的，应承担响应文件和法律规定的责任。 3.成交供应商的谈判有效期自动延长至合同终止为止。 (二)分公司独立参与谈判时，不能使用总公司的资质或业绩；总公司授权分公司或分支机构参与谈判，可以使用总公司的资质或业绩。总公司单独参与谈判时，可以使用分公司的业绩，在相关资质证书的管理要求和适用范围内可以使用分公司资质。 (三)供应商的电子响应文件中的所有文字资料、图纸、数据、方案、证书、检测报告等响应内容应清晰可辨，表达意思统一，便于查找，供应商自行承担资料模糊不清、无法辨认的不利后果。 (四)文件中签名是指：手写签名或加盖签名章（含电子章、印章、签名章），盖章是指加盖单位章（含电子章）。 (五)恶意质疑、投诉的法律后果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（1）《中华人民共和国刑法》第243条【诬告陷害罪】捏造事实诬告陷害他人，意图使他人受到刑事追究，情节严重的，处三年以下有期徒刑、拘役或者管制；造成严重后果的，处三年以上十年以下有期徒刑。 （2）《中华人民共和国刑法》第246条【侮辱罪、诽谤罪】以暴力或者其他方法公然侮辱他人或者捏造事实诽谤他人，情节严重的，处三年以下有期徒刑、拘役、管制或者剥夺政治权利。 (六)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57BD549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1532B4"/>
    <w:rsid w:val="55153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2026-07-10T14:05:00Z</dcterms:created>
  <dc:creator>杜航</dc:creator>
  <cp:lastModifiedBy>杜航</cp:lastModifiedBy>
  <dcterms:modified xsi:type="dcterms:W3CDTF">2026-07-10T14:05:47Z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042B973F05654BB1960B5DF1BBB4ECC1_11</vt:lpwstr>
  </property>
  <property fmtid="{D5CDD505-2E9C-101B-9397-08002B2CF9AE}" pid="4" name="KSOTemplateDocerSaveRecord">
    <vt:lpwstr>eyJoZGlkIjoiNGVjNGI1ZWQxMDUyODY5ZDAxOTAyNjljNjE1NWUwNGQiLCJ1c2VySWQiOiIzMDgwODY2MDYifQ==</vt:lpwstr>
  </property>
</Properties>
</file>