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B0CCA">
      <w:pPr>
        <w:wordWrap/>
        <w:autoSpaceDE/>
        <w:autoSpaceDN/>
        <w:spacing w:before="156" w:beforeLines="50" w:after="156" w:afterLines="50" w:line="360" w:lineRule="auto"/>
        <w:ind w:firstLine="0"/>
        <w:outlineLvl w:val="1"/>
        <w:rPr>
          <w:rFonts w:hint="eastAsia" w:ascii="仿宋" w:hAnsi="仿宋" w:eastAsia="仿宋" w:cs="仿宋"/>
          <w:b/>
          <w:bCs/>
          <w:sz w:val="21"/>
          <w:u w:val="single"/>
          <w:lang w:eastAsia="zh-CN"/>
        </w:rPr>
      </w:pPr>
      <w:bookmarkStart w:id="0" w:name="_Toc26687"/>
      <w:r>
        <w:rPr>
          <w:rFonts w:ascii="宋体" w:hAnsi="宋体" w:eastAsia="宋体" w:cs="宋体"/>
          <w:b/>
          <w:sz w:val="36"/>
        </w:rPr>
        <w:t>合同文本</w:t>
      </w:r>
      <w:bookmarkEnd w:id="0"/>
      <w:r>
        <w:rPr>
          <w:rFonts w:hint="eastAsia" w:ascii="仿宋" w:hAnsi="仿宋" w:eastAsia="仿宋" w:cs="仿宋"/>
          <w:b/>
          <w:bCs/>
          <w:sz w:val="21"/>
          <w:lang w:eastAsia="zh-CN"/>
        </w:rPr>
        <w:t>一、货物项目（项目属性为货物的填写）</w:t>
      </w:r>
    </w:p>
    <w:p w14:paraId="6444FE62">
      <w:pPr>
        <w:wordWrap/>
        <w:autoSpaceDE/>
        <w:autoSpaceDN/>
        <w:rPr>
          <w:rFonts w:hint="eastAsia" w:ascii="仿宋" w:hAnsi="仿宋" w:eastAsia="仿宋" w:cs="仿宋"/>
          <w:b/>
          <w:bCs/>
          <w:color w:val="000000"/>
          <w:kern w:val="28"/>
          <w:sz w:val="21"/>
          <w:szCs w:val="24"/>
          <w:lang w:eastAsia="zh-CN"/>
        </w:rPr>
      </w:pPr>
      <w:r>
        <w:rPr>
          <w:rFonts w:hint="eastAsia" w:ascii="仿宋" w:hAnsi="仿宋" w:eastAsia="仿宋" w:cs="仿宋"/>
          <w:b/>
          <w:bCs/>
          <w:sz w:val="28"/>
          <w:szCs w:val="28"/>
          <w:lang w:eastAsia="zh-CN" w:bidi="ar"/>
        </w:rPr>
        <w:t xml:space="preserve">   </w:t>
      </w:r>
      <w:r>
        <w:rPr>
          <w:rFonts w:hint="eastAsia" w:ascii="仿宋" w:hAnsi="仿宋" w:eastAsia="仿宋" w:cs="仿宋"/>
          <w:b/>
          <w:bCs/>
          <w:color w:val="000000"/>
          <w:kern w:val="28"/>
          <w:sz w:val="21"/>
          <w:szCs w:val="24"/>
          <w:lang w:eastAsia="zh-CN" w:bidi="ar"/>
        </w:rPr>
        <w:t>需方(甲方)：陕西省康复医院</w:t>
      </w:r>
    </w:p>
    <w:p w14:paraId="705DB4B9">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地      址：西安市雁塔区电子二路52号</w:t>
      </w:r>
    </w:p>
    <w:p w14:paraId="372EA23A">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电      话：029-89288722</w:t>
      </w:r>
    </w:p>
    <w:p w14:paraId="0D6CB61B">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邮      编：710065</w:t>
      </w:r>
    </w:p>
    <w:p w14:paraId="1D558610">
      <w:pPr>
        <w:wordWrap/>
        <w:autoSpaceDE/>
        <w:autoSpaceDN/>
        <w:spacing w:line="360" w:lineRule="auto"/>
        <w:ind w:firstLineChars="200"/>
        <w:rPr>
          <w:rFonts w:hint="eastAsia" w:ascii="仿宋" w:hAnsi="仿宋" w:eastAsia="仿宋" w:cs="仿宋"/>
          <w:b/>
          <w:bCs/>
          <w:color w:val="000000"/>
          <w:kern w:val="28"/>
          <w:sz w:val="21"/>
          <w:szCs w:val="24"/>
          <w:lang w:eastAsia="zh-CN"/>
        </w:rPr>
      </w:pPr>
      <w:r>
        <w:rPr>
          <w:rFonts w:hint="eastAsia" w:ascii="仿宋" w:hAnsi="仿宋" w:eastAsia="仿宋" w:cs="仿宋"/>
          <w:b/>
          <w:bCs/>
          <w:color w:val="000000"/>
          <w:kern w:val="28"/>
          <w:sz w:val="21"/>
          <w:szCs w:val="24"/>
          <w:lang w:eastAsia="zh-CN" w:bidi="ar"/>
        </w:rPr>
        <w:t xml:space="preserve">供方(乙方)： </w:t>
      </w:r>
    </w:p>
    <w:p w14:paraId="70C3DF06">
      <w:pPr>
        <w:wordWrap/>
        <w:autoSpaceDE/>
        <w:autoSpaceDN/>
        <w:spacing w:line="360" w:lineRule="auto"/>
        <w:ind w:left="456" w:leftChars="228" w:firstLine="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地      址：</w:t>
      </w:r>
    </w:p>
    <w:p w14:paraId="789CD136">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 xml:space="preserve">电      话：    </w:t>
      </w:r>
    </w:p>
    <w:p w14:paraId="0467AB89">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邮      编：</w:t>
      </w:r>
    </w:p>
    <w:p w14:paraId="3D4FA3B2">
      <w:pPr>
        <w:wordWrap/>
        <w:autoSpaceDE/>
        <w:autoSpaceDN/>
        <w:spacing w:line="360" w:lineRule="auto"/>
        <w:ind w:firstLine="420" w:firstLineChars="200"/>
        <w:rPr>
          <w:rFonts w:hint="eastAsia" w:ascii="仿宋" w:hAnsi="仿宋" w:eastAsia="仿宋" w:cs="仿宋"/>
          <w:color w:val="000000"/>
          <w:kern w:val="28"/>
          <w:sz w:val="21"/>
          <w:szCs w:val="24"/>
          <w:lang w:eastAsia="zh-CN"/>
        </w:rPr>
      </w:pPr>
      <w:r>
        <w:rPr>
          <w:rFonts w:hint="eastAsia" w:ascii="仿宋" w:hAnsi="仿宋" w:eastAsia="仿宋" w:cs="仿宋"/>
          <w:color w:val="000000"/>
          <w:kern w:val="28"/>
          <w:sz w:val="21"/>
          <w:szCs w:val="24"/>
          <w:lang w:eastAsia="zh-CN" w:bidi="ar"/>
        </w:rPr>
        <w:t>联  系  人：</w:t>
      </w:r>
    </w:p>
    <w:p w14:paraId="1398A8A6">
      <w:pPr>
        <w:wordWrap/>
        <w:autoSpaceDE/>
        <w:autoSpaceDN/>
        <w:spacing w:line="360" w:lineRule="auto"/>
        <w:ind w:firstLineChars="200"/>
        <w:rPr>
          <w:rFonts w:hint="eastAsia" w:ascii="仿宋" w:hAnsi="仿宋" w:eastAsia="仿宋" w:cs="仿宋"/>
          <w:sz w:val="21"/>
          <w:szCs w:val="24"/>
          <w:lang w:eastAsia="zh-CN"/>
        </w:rPr>
      </w:pPr>
      <w:r>
        <w:rPr>
          <w:rFonts w:hint="eastAsia" w:ascii="仿宋" w:hAnsi="仿宋" w:eastAsia="仿宋" w:cs="仿宋"/>
          <w:b/>
          <w:bCs/>
          <w:color w:val="000000"/>
          <w:kern w:val="28"/>
          <w:sz w:val="21"/>
          <w:szCs w:val="24"/>
          <w:lang w:eastAsia="zh-CN" w:bidi="ar"/>
        </w:rPr>
        <w:t xml:space="preserve">签约地点：西安市雁塔区 </w:t>
      </w:r>
    </w:p>
    <w:p w14:paraId="478D7B91">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根据《中华人民共和国民法典》的规定和甲方需求，本着平等互利、协商一致的原则，经甲乙双方友好协商，特订立本合同，共同遵守。</w:t>
      </w:r>
    </w:p>
    <w:p w14:paraId="750E6AF3">
      <w:pPr>
        <w:wordWrap/>
        <w:topLinePunct/>
        <w:autoSpaceDE/>
        <w:autoSpaceDN/>
        <w:spacing w:line="360" w:lineRule="auto"/>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一、标的名称、规格型号、注册证号、制造厂商、数量、价款</w:t>
      </w:r>
    </w:p>
    <w:tbl>
      <w:tblPr>
        <w:tblStyle w:val="12"/>
        <w:tblW w:w="95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375"/>
        <w:gridCol w:w="1188"/>
        <w:gridCol w:w="1560"/>
        <w:gridCol w:w="695"/>
        <w:gridCol w:w="491"/>
        <w:gridCol w:w="1700"/>
        <w:gridCol w:w="1709"/>
      </w:tblGrid>
      <w:tr w14:paraId="081F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3B8F5849">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标的名称</w:t>
            </w:r>
          </w:p>
        </w:tc>
        <w:tc>
          <w:tcPr>
            <w:tcW w:w="1375" w:type="dxa"/>
            <w:tcBorders>
              <w:top w:val="single" w:color="auto" w:sz="4" w:space="0"/>
              <w:left w:val="single" w:color="auto" w:sz="4" w:space="0"/>
              <w:bottom w:val="single" w:color="auto" w:sz="4" w:space="0"/>
              <w:right w:val="single" w:color="auto" w:sz="4" w:space="0"/>
            </w:tcBorders>
            <w:vAlign w:val="center"/>
          </w:tcPr>
          <w:p w14:paraId="356C95DA">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品牌及规格型号</w:t>
            </w:r>
          </w:p>
        </w:tc>
        <w:tc>
          <w:tcPr>
            <w:tcW w:w="1188" w:type="dxa"/>
            <w:tcBorders>
              <w:top w:val="single" w:color="auto" w:sz="4" w:space="0"/>
              <w:left w:val="single" w:color="auto" w:sz="4" w:space="0"/>
              <w:bottom w:val="single" w:color="auto" w:sz="4" w:space="0"/>
              <w:right w:val="single" w:color="auto" w:sz="4" w:space="0"/>
            </w:tcBorders>
            <w:vAlign w:val="center"/>
          </w:tcPr>
          <w:p w14:paraId="3ADFD496">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注册证号</w:t>
            </w:r>
          </w:p>
        </w:tc>
        <w:tc>
          <w:tcPr>
            <w:tcW w:w="1560" w:type="dxa"/>
            <w:tcBorders>
              <w:top w:val="single" w:color="auto" w:sz="4" w:space="0"/>
              <w:left w:val="single" w:color="auto" w:sz="4" w:space="0"/>
              <w:bottom w:val="single" w:color="auto" w:sz="4" w:space="0"/>
              <w:right w:val="single" w:color="auto" w:sz="4" w:space="0"/>
            </w:tcBorders>
            <w:vAlign w:val="center"/>
          </w:tcPr>
          <w:p w14:paraId="04CA25FD">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产地及制造厂商</w:t>
            </w:r>
          </w:p>
        </w:tc>
        <w:tc>
          <w:tcPr>
            <w:tcW w:w="695" w:type="dxa"/>
            <w:tcBorders>
              <w:top w:val="single" w:color="auto" w:sz="4" w:space="0"/>
              <w:left w:val="single" w:color="auto" w:sz="4" w:space="0"/>
              <w:bottom w:val="single" w:color="auto" w:sz="4" w:space="0"/>
              <w:right w:val="single" w:color="auto" w:sz="4" w:space="0"/>
            </w:tcBorders>
            <w:vAlign w:val="center"/>
          </w:tcPr>
          <w:p w14:paraId="5A5E8C8C">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数量</w:t>
            </w:r>
          </w:p>
        </w:tc>
        <w:tc>
          <w:tcPr>
            <w:tcW w:w="491" w:type="dxa"/>
            <w:tcBorders>
              <w:top w:val="single" w:color="auto" w:sz="4" w:space="0"/>
              <w:left w:val="single" w:color="auto" w:sz="4" w:space="0"/>
              <w:bottom w:val="single" w:color="auto" w:sz="4" w:space="0"/>
              <w:right w:val="single" w:color="auto" w:sz="4" w:space="0"/>
            </w:tcBorders>
            <w:vAlign w:val="center"/>
          </w:tcPr>
          <w:p w14:paraId="5B948EE6">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单位</w:t>
            </w:r>
          </w:p>
        </w:tc>
        <w:tc>
          <w:tcPr>
            <w:tcW w:w="1700" w:type="dxa"/>
            <w:tcBorders>
              <w:top w:val="single" w:color="auto" w:sz="4" w:space="0"/>
              <w:left w:val="single" w:color="auto" w:sz="4" w:space="0"/>
              <w:bottom w:val="single" w:color="auto" w:sz="4" w:space="0"/>
              <w:right w:val="single" w:color="auto" w:sz="4" w:space="0"/>
            </w:tcBorders>
            <w:vAlign w:val="center"/>
          </w:tcPr>
          <w:p w14:paraId="36C6F94D">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单价（元）</w:t>
            </w:r>
          </w:p>
        </w:tc>
        <w:tc>
          <w:tcPr>
            <w:tcW w:w="1709" w:type="dxa"/>
            <w:tcBorders>
              <w:top w:val="single" w:color="auto" w:sz="4" w:space="0"/>
              <w:left w:val="single" w:color="auto" w:sz="4" w:space="0"/>
              <w:bottom w:val="single" w:color="auto" w:sz="4" w:space="0"/>
              <w:right w:val="single" w:color="auto" w:sz="4" w:space="0"/>
            </w:tcBorders>
            <w:vAlign w:val="center"/>
          </w:tcPr>
          <w:p w14:paraId="4CD3EE9F">
            <w:pPr>
              <w:wordWrap/>
              <w:topLinePunct/>
              <w:autoSpaceDE/>
              <w:autoSpaceDN/>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总价（元）</w:t>
            </w:r>
          </w:p>
        </w:tc>
      </w:tr>
      <w:tr w14:paraId="0F6E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4D9421C0">
            <w:pPr>
              <w:widowControl/>
              <w:wordWrap/>
              <w:autoSpaceDE/>
              <w:autoSpaceDN/>
              <w:ind w:firstLine="0"/>
              <w:rPr>
                <w:rFonts w:hint="eastAsia" w:ascii="仿宋" w:hAnsi="仿宋" w:eastAsia="仿宋" w:cs="仿宋"/>
                <w:color w:val="000000"/>
                <w:sz w:val="21"/>
                <w:szCs w:val="24"/>
                <w:lang w:eastAsia="zh-CN"/>
              </w:rPr>
            </w:pPr>
          </w:p>
        </w:tc>
        <w:tc>
          <w:tcPr>
            <w:tcW w:w="1375" w:type="dxa"/>
            <w:tcBorders>
              <w:top w:val="single" w:color="auto" w:sz="4" w:space="0"/>
              <w:left w:val="single" w:color="auto" w:sz="4" w:space="0"/>
              <w:bottom w:val="single" w:color="auto" w:sz="4" w:space="0"/>
              <w:right w:val="single" w:color="auto" w:sz="4" w:space="0"/>
            </w:tcBorders>
            <w:vAlign w:val="center"/>
          </w:tcPr>
          <w:p w14:paraId="5AD6B1FE">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1188" w:type="dxa"/>
            <w:tcBorders>
              <w:top w:val="single" w:color="auto" w:sz="4" w:space="0"/>
              <w:left w:val="single" w:color="auto" w:sz="4" w:space="0"/>
              <w:bottom w:val="single" w:color="auto" w:sz="4" w:space="0"/>
              <w:right w:val="single" w:color="auto" w:sz="4" w:space="0"/>
            </w:tcBorders>
            <w:vAlign w:val="center"/>
          </w:tcPr>
          <w:p w14:paraId="0AB3F2D1">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1560" w:type="dxa"/>
            <w:tcBorders>
              <w:top w:val="single" w:color="auto" w:sz="4" w:space="0"/>
              <w:left w:val="single" w:color="auto" w:sz="4" w:space="0"/>
              <w:bottom w:val="single" w:color="auto" w:sz="4" w:space="0"/>
              <w:right w:val="single" w:color="auto" w:sz="4" w:space="0"/>
            </w:tcBorders>
            <w:vAlign w:val="center"/>
          </w:tcPr>
          <w:p w14:paraId="50F334D8">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695" w:type="dxa"/>
            <w:tcBorders>
              <w:top w:val="single" w:color="auto" w:sz="4" w:space="0"/>
              <w:left w:val="single" w:color="auto" w:sz="4" w:space="0"/>
              <w:bottom w:val="single" w:color="auto" w:sz="4" w:space="0"/>
              <w:right w:val="single" w:color="auto" w:sz="4" w:space="0"/>
            </w:tcBorders>
            <w:vAlign w:val="center"/>
          </w:tcPr>
          <w:p w14:paraId="71E02F41">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491" w:type="dxa"/>
            <w:tcBorders>
              <w:top w:val="single" w:color="auto" w:sz="4" w:space="0"/>
              <w:left w:val="single" w:color="auto" w:sz="4" w:space="0"/>
              <w:bottom w:val="single" w:color="auto" w:sz="4" w:space="0"/>
              <w:right w:val="single" w:color="auto" w:sz="4" w:space="0"/>
            </w:tcBorders>
            <w:vAlign w:val="center"/>
          </w:tcPr>
          <w:p w14:paraId="0B701491">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c>
          <w:tcPr>
            <w:tcW w:w="1700" w:type="dxa"/>
            <w:tcBorders>
              <w:top w:val="single" w:color="auto" w:sz="4" w:space="0"/>
              <w:left w:val="single" w:color="auto" w:sz="4" w:space="0"/>
              <w:bottom w:val="single" w:color="auto" w:sz="4" w:space="0"/>
              <w:right w:val="single" w:color="auto" w:sz="4" w:space="0"/>
            </w:tcBorders>
            <w:vAlign w:val="center"/>
          </w:tcPr>
          <w:p w14:paraId="30D5BFDF">
            <w:pPr>
              <w:wordWrap/>
              <w:topLinePunct/>
              <w:autoSpaceDE/>
              <w:autoSpaceDN/>
              <w:spacing w:line="360" w:lineRule="auto"/>
              <w:ind w:firstLine="0"/>
              <w:jc w:val="center"/>
              <w:rPr>
                <w:rFonts w:hint="eastAsia" w:ascii="仿宋" w:hAnsi="仿宋" w:eastAsia="仿宋" w:cs="仿宋"/>
                <w:sz w:val="21"/>
                <w:szCs w:val="24"/>
                <w:lang w:eastAsia="zh-CN"/>
              </w:rPr>
            </w:pPr>
          </w:p>
        </w:tc>
        <w:tc>
          <w:tcPr>
            <w:tcW w:w="1709" w:type="dxa"/>
            <w:tcBorders>
              <w:top w:val="single" w:color="auto" w:sz="4" w:space="0"/>
              <w:left w:val="single" w:color="auto" w:sz="4" w:space="0"/>
              <w:bottom w:val="single" w:color="auto" w:sz="4" w:space="0"/>
              <w:right w:val="single" w:color="auto" w:sz="4" w:space="0"/>
            </w:tcBorders>
            <w:vAlign w:val="center"/>
          </w:tcPr>
          <w:p w14:paraId="75590D12">
            <w:pPr>
              <w:wordWrap/>
              <w:topLinePunct/>
              <w:autoSpaceDE/>
              <w:autoSpaceDN/>
              <w:spacing w:line="360" w:lineRule="auto"/>
              <w:ind w:firstLine="0"/>
              <w:jc w:val="center"/>
              <w:rPr>
                <w:rFonts w:hint="eastAsia" w:ascii="仿宋" w:hAnsi="仿宋" w:eastAsia="仿宋" w:cs="仿宋"/>
                <w:color w:val="000000"/>
                <w:sz w:val="21"/>
                <w:szCs w:val="24"/>
                <w:lang w:eastAsia="zh-CN"/>
              </w:rPr>
            </w:pPr>
          </w:p>
        </w:tc>
      </w:tr>
      <w:tr w14:paraId="391EE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881" w:type="dxa"/>
            <w:tcBorders>
              <w:top w:val="single" w:color="auto" w:sz="4" w:space="0"/>
              <w:left w:val="single" w:color="auto" w:sz="4" w:space="0"/>
              <w:bottom w:val="single" w:color="auto" w:sz="4" w:space="0"/>
              <w:right w:val="single" w:color="auto" w:sz="4" w:space="0"/>
            </w:tcBorders>
            <w:vAlign w:val="center"/>
          </w:tcPr>
          <w:p w14:paraId="7FAFFB3C">
            <w:pPr>
              <w:wordWrap/>
              <w:topLinePunct/>
              <w:autoSpaceDE/>
              <w:autoSpaceDN/>
              <w:spacing w:line="360" w:lineRule="auto"/>
              <w:ind w:firstLine="0"/>
              <w:jc w:val="center"/>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总价</w:t>
            </w:r>
          </w:p>
        </w:tc>
        <w:tc>
          <w:tcPr>
            <w:tcW w:w="8718" w:type="dxa"/>
            <w:gridSpan w:val="7"/>
            <w:tcBorders>
              <w:top w:val="single" w:color="auto" w:sz="4" w:space="0"/>
              <w:left w:val="single" w:color="auto" w:sz="4" w:space="0"/>
              <w:bottom w:val="single" w:color="auto" w:sz="4" w:space="0"/>
              <w:right w:val="single" w:color="auto" w:sz="4" w:space="0"/>
            </w:tcBorders>
          </w:tcPr>
          <w:p w14:paraId="52BA40C0">
            <w:pPr>
              <w:wordWrap/>
              <w:topLinePunct/>
              <w:autoSpaceDE/>
              <w:autoSpaceDN/>
              <w:spacing w:line="360" w:lineRule="auto"/>
              <w:ind w:firstLine="0"/>
              <w:rPr>
                <w:rFonts w:hint="eastAsia" w:ascii="仿宋" w:hAnsi="仿宋" w:eastAsia="仿宋" w:cs="仿宋"/>
                <w:b/>
                <w:bCs/>
                <w:color w:val="000000"/>
                <w:sz w:val="21"/>
                <w:szCs w:val="24"/>
                <w:u w:val="single"/>
                <w:lang w:eastAsia="zh-CN"/>
              </w:rPr>
            </w:pPr>
            <w:r>
              <w:rPr>
                <w:rFonts w:hint="eastAsia" w:ascii="仿宋" w:hAnsi="仿宋" w:eastAsia="仿宋" w:cs="仿宋"/>
                <w:color w:val="000000"/>
                <w:sz w:val="21"/>
                <w:szCs w:val="24"/>
                <w:lang w:eastAsia="zh-CN" w:bidi="ar"/>
              </w:rPr>
              <w:t>（小写）</w:t>
            </w:r>
            <w:r>
              <w:rPr>
                <w:rFonts w:hint="eastAsia" w:ascii="仿宋" w:hAnsi="仿宋" w:eastAsia="仿宋" w:cs="仿宋"/>
                <w:color w:val="000000"/>
                <w:sz w:val="21"/>
                <w:szCs w:val="24"/>
                <w:u w:val="single"/>
                <w:lang w:eastAsia="zh-CN" w:bidi="ar"/>
              </w:rPr>
              <w:t>￥0000.00</w:t>
            </w:r>
            <w:r>
              <w:rPr>
                <w:rFonts w:hint="eastAsia" w:ascii="仿宋" w:hAnsi="仿宋" w:eastAsia="仿宋" w:cs="仿宋"/>
                <w:color w:val="000000"/>
                <w:sz w:val="21"/>
                <w:szCs w:val="24"/>
                <w:lang w:eastAsia="zh-CN" w:bidi="ar"/>
              </w:rPr>
              <w:t>元 （大写）</w:t>
            </w:r>
            <w:r>
              <w:rPr>
                <w:rFonts w:hint="eastAsia" w:ascii="仿宋" w:hAnsi="仿宋" w:eastAsia="仿宋" w:cs="仿宋"/>
                <w:color w:val="000000"/>
                <w:sz w:val="21"/>
                <w:szCs w:val="24"/>
                <w:u w:val="single"/>
                <w:lang w:eastAsia="zh-CN" w:bidi="ar"/>
              </w:rPr>
              <w:t xml:space="preserve">￥         </w:t>
            </w:r>
            <w:r>
              <w:rPr>
                <w:rFonts w:hint="eastAsia" w:ascii="仿宋" w:hAnsi="仿宋" w:eastAsia="仿宋" w:cs="仿宋"/>
                <w:color w:val="000000"/>
                <w:sz w:val="21"/>
                <w:szCs w:val="24"/>
                <w:lang w:eastAsia="zh-CN" w:bidi="ar"/>
              </w:rPr>
              <w:t xml:space="preserve">元 </w:t>
            </w:r>
          </w:p>
        </w:tc>
      </w:tr>
      <w:tr w14:paraId="542F8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9599" w:type="dxa"/>
            <w:gridSpan w:val="8"/>
            <w:tcBorders>
              <w:top w:val="single" w:color="auto" w:sz="4" w:space="0"/>
              <w:left w:val="single" w:color="auto" w:sz="4" w:space="0"/>
              <w:bottom w:val="single" w:color="auto" w:sz="4" w:space="0"/>
              <w:right w:val="single" w:color="auto" w:sz="4" w:space="0"/>
            </w:tcBorders>
            <w:vAlign w:val="center"/>
          </w:tcPr>
          <w:p w14:paraId="12309B7E">
            <w:pPr>
              <w:wordWrap/>
              <w:topLinePunct/>
              <w:autoSpaceDE/>
              <w:autoSpaceDN/>
              <w:spacing w:line="360" w:lineRule="auto"/>
              <w:ind w:firstLine="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备注：</w:t>
            </w:r>
          </w:p>
        </w:tc>
      </w:tr>
    </w:tbl>
    <w:p w14:paraId="1D4B12A9">
      <w:pPr>
        <w:wordWrap/>
        <w:topLinePunct/>
        <w:autoSpaceDE/>
        <w:autoSpaceDN/>
        <w:spacing w:line="360" w:lineRule="auto"/>
        <w:ind w:firstLineChars="200"/>
        <w:rPr>
          <w:rFonts w:hint="eastAsia" w:ascii="仿宋" w:hAnsi="仿宋" w:eastAsia="仿宋" w:cs="仿宋"/>
          <w:color w:val="000000"/>
          <w:sz w:val="21"/>
          <w:szCs w:val="24"/>
          <w:lang w:eastAsia="zh-CN" w:bidi="ar"/>
        </w:rPr>
      </w:pPr>
      <w:r>
        <w:rPr>
          <w:rFonts w:hint="eastAsia" w:ascii="仿宋" w:hAnsi="仿宋" w:eastAsia="仿宋" w:cs="仿宋"/>
          <w:b/>
          <w:bCs/>
          <w:color w:val="000000"/>
          <w:sz w:val="21"/>
          <w:szCs w:val="24"/>
          <w:lang w:eastAsia="zh-CN" w:bidi="ar"/>
        </w:rPr>
        <w:t>说明：</w:t>
      </w:r>
      <w:r>
        <w:rPr>
          <w:rFonts w:hint="eastAsia" w:ascii="仿宋" w:hAnsi="仿宋" w:eastAsia="仿宋" w:cs="仿宋"/>
          <w:color w:val="000000"/>
          <w:sz w:val="21"/>
          <w:szCs w:val="24"/>
          <w:lang w:eastAsia="zh-CN" w:bidi="ar"/>
        </w:rPr>
        <w:t>1、本合同价格为最终结算价格，包括安装、</w:t>
      </w:r>
      <w:r>
        <w:rPr>
          <w:rFonts w:hint="eastAsia" w:ascii="仿宋" w:hAnsi="仿宋" w:eastAsia="仿宋" w:cs="仿宋"/>
          <w:sz w:val="21"/>
          <w:szCs w:val="24"/>
          <w:lang w:eastAsia="zh-CN" w:bidi="ar"/>
        </w:rPr>
        <w:t>调试正常运行、验</w:t>
      </w:r>
      <w:r>
        <w:rPr>
          <w:rFonts w:hint="eastAsia" w:ascii="仿宋" w:hAnsi="仿宋" w:eastAsia="仿宋" w:cs="仿宋"/>
          <w:color w:val="000000"/>
          <w:sz w:val="21"/>
          <w:szCs w:val="24"/>
          <w:lang w:eastAsia="zh-CN" w:bidi="ar"/>
        </w:rPr>
        <w:t>收合格后的价格（含保修费、零备件和运杂费、运输费、装卸费、仓储费、保险费、安装费、设备接口费（lis、his等系统）、验收费、人员培训费、关税及进口环节增值税等所有税费及其它一切费用）。</w:t>
      </w:r>
    </w:p>
    <w:p w14:paraId="21BB0369">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2、本合同为一次性包死，不受市场价格变化因素的影响。</w:t>
      </w:r>
    </w:p>
    <w:p w14:paraId="6314769F">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3、设备配置：详见采购文件、响应文件设备配置清单、装箱单及产品彩页（含增配件）。有强制性安全标准的产品，乙方应提供该产品的制造许可证证明。</w:t>
      </w:r>
    </w:p>
    <w:p w14:paraId="15C28F44">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二、交货、安装的期限和地点</w:t>
      </w:r>
    </w:p>
    <w:p w14:paraId="57CA1E8A">
      <w:pPr>
        <w:wordWrap/>
        <w:topLinePunct/>
        <w:autoSpaceDE/>
        <w:autoSpaceDN/>
        <w:spacing w:line="360" w:lineRule="auto"/>
        <w:ind w:firstLine="420" w:firstLineChars="200"/>
        <w:rPr>
          <w:rFonts w:hint="eastAsia" w:ascii="仿宋" w:hAnsi="仿宋" w:eastAsia="仿宋" w:cs="仿宋"/>
          <w:color w:val="FF0000"/>
          <w:sz w:val="21"/>
          <w:szCs w:val="24"/>
          <w:lang w:eastAsia="zh-CN"/>
        </w:rPr>
      </w:pPr>
      <w:r>
        <w:rPr>
          <w:rFonts w:hint="eastAsia" w:ascii="仿宋" w:hAnsi="仿宋" w:eastAsia="仿宋" w:cs="仿宋"/>
          <w:color w:val="000000"/>
          <w:sz w:val="21"/>
          <w:szCs w:val="24"/>
          <w:lang w:eastAsia="zh-CN" w:bidi="ar"/>
        </w:rPr>
        <w:t>（一）交货期：合同签订后</w:t>
      </w:r>
      <w:r>
        <w:rPr>
          <w:rFonts w:hint="eastAsia" w:ascii="仿宋" w:hAnsi="仿宋" w:eastAsia="仿宋" w:cs="仿宋"/>
          <w:color w:val="000000"/>
          <w:sz w:val="21"/>
          <w:szCs w:val="24"/>
          <w:u w:val="single"/>
          <w:lang w:eastAsia="zh-CN" w:bidi="ar"/>
        </w:rPr>
        <w:t xml:space="preserve">     </w:t>
      </w:r>
      <w:r>
        <w:rPr>
          <w:rFonts w:hint="eastAsia" w:ascii="仿宋" w:hAnsi="仿宋" w:eastAsia="仿宋" w:cs="仿宋"/>
          <w:color w:val="000000"/>
          <w:sz w:val="21"/>
          <w:szCs w:val="24"/>
          <w:lang w:eastAsia="zh-CN" w:bidi="ar"/>
        </w:rPr>
        <w:t>天。</w:t>
      </w:r>
    </w:p>
    <w:p w14:paraId="0E71729A">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（二）交货及安装地点：乙方负责运输至甲方指定地点交货。</w:t>
      </w:r>
    </w:p>
    <w:p w14:paraId="0B421631">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（三）安装完成时间：接甲方通知后</w:t>
      </w:r>
      <w:r>
        <w:rPr>
          <w:rFonts w:hint="eastAsia" w:ascii="仿宋" w:hAnsi="仿宋" w:eastAsia="仿宋" w:cs="仿宋"/>
          <w:color w:val="000000"/>
          <w:sz w:val="21"/>
          <w:szCs w:val="24"/>
          <w:u w:val="single"/>
          <w:lang w:eastAsia="zh-CN" w:bidi="ar"/>
        </w:rPr>
        <w:t>1</w:t>
      </w:r>
      <w:r>
        <w:rPr>
          <w:rFonts w:hint="eastAsia" w:ascii="仿宋" w:hAnsi="仿宋" w:eastAsia="仿宋" w:cs="仿宋"/>
          <w:color w:val="000000"/>
          <w:sz w:val="21"/>
          <w:szCs w:val="24"/>
          <w:lang w:eastAsia="zh-CN" w:bidi="ar"/>
        </w:rPr>
        <w:t>个工作日内全部调试完成，并可正常使用。</w:t>
      </w:r>
    </w:p>
    <w:p w14:paraId="1E7DAD81">
      <w:pPr>
        <w:wordWrap/>
        <w:topLinePunct/>
        <w:autoSpaceDE/>
        <w:autoSpaceDN/>
        <w:spacing w:line="360" w:lineRule="auto"/>
        <w:ind w:firstLineChars="200"/>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三、验收标准和方法</w:t>
      </w:r>
    </w:p>
    <w:p w14:paraId="23BBCF12">
      <w:pPr>
        <w:wordWrap/>
        <w:topLinePunct/>
        <w:autoSpaceDE/>
        <w:autoSpaceDN/>
        <w:spacing w:line="360" w:lineRule="auto"/>
        <w:ind w:firstLine="42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（一）验收标准</w:t>
      </w:r>
    </w:p>
    <w:p w14:paraId="0096C4DB">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1、包装：符合出厂规范及符合《商品包装政府采购需求标准（试行）》《快递包装政府采购需求标准（试行）》,包装完整无破损，防雨、防潮等各种符号标识清楚，进口设备应具有原产国标识且标识清楚。</w:t>
      </w:r>
    </w:p>
    <w:p w14:paraId="2DAD85D5">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2、安装：符合本合同项下产品的全部相关国家安全技术标准及甲方要求。</w:t>
      </w:r>
    </w:p>
    <w:p w14:paraId="387E55CF">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3、产品：（1）必须为原装、全新、合格产品，渠道合法；（2）符合甲方与乙方签订的合同；（3）符合招、投标文件的技术要求；（4）符合产品原样本技术数据；</w:t>
      </w:r>
      <w:r>
        <w:rPr>
          <w:rFonts w:hint="eastAsia" w:ascii="仿宋" w:hAnsi="仿宋" w:eastAsia="仿宋" w:cs="仿宋"/>
          <w:sz w:val="21"/>
          <w:szCs w:val="24"/>
          <w:lang w:eastAsia="zh-CN" w:bidi="ar"/>
        </w:rPr>
        <w:t>（5）符合国家有关技术规范要求和安全、环保、节能等强制性标准, 验收的手续及费用由投标单位自行办理和承担，招标单位提供相关辅助。</w:t>
      </w:r>
      <w:r>
        <w:rPr>
          <w:rFonts w:hint="eastAsia" w:ascii="仿宋" w:hAnsi="仿宋" w:eastAsia="仿宋" w:cs="仿宋"/>
          <w:color w:val="000000"/>
          <w:sz w:val="21"/>
          <w:szCs w:val="24"/>
          <w:lang w:eastAsia="zh-CN" w:bidi="ar"/>
        </w:rPr>
        <w:t>（6）产品单证齐全（质量合格证、装箱清单、操作手册和维修手册等，如为进口产品，交货前须提供原产地证明、原厂生产检验合格证和海关手续等）。</w:t>
      </w:r>
    </w:p>
    <w:p w14:paraId="3AFA34D2">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（二）验收方法</w:t>
      </w:r>
    </w:p>
    <w:p w14:paraId="4E21F550">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14:paraId="7761E78A">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验收过程中发现设备存在瑕疵或质量问题的，乙方应无条件配合甲方进行维修、更换或退货工作，因此给甲方造成损失的，乙方就全部损失承担赔偿责任。</w:t>
      </w:r>
    </w:p>
    <w:p w14:paraId="30F31385">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在甲方验收前，乙方须按照《商品包装政府采购需求标准（试行）》《快递包装政府采购需求标准（试行）》的环保要求出具检测报告。</w:t>
      </w:r>
    </w:p>
    <w:p w14:paraId="48CACD72">
      <w:pPr>
        <w:wordWrap/>
        <w:topLinePunct/>
        <w:autoSpaceDE/>
        <w:autoSpaceDN/>
        <w:spacing w:line="360" w:lineRule="auto"/>
        <w:ind w:firstLineChars="200"/>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四、售后服务及保修</w:t>
      </w:r>
    </w:p>
    <w:p w14:paraId="7570EE28">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1、乙方所提供专职的维修售后保证维修及时、快捷24小时热线服务。</w:t>
      </w:r>
    </w:p>
    <w:p w14:paraId="30D67581">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售后服务部门（单位）</w:t>
      </w:r>
    </w:p>
    <w:p w14:paraId="13F2E851">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 xml:space="preserve">名  称： </w:t>
      </w:r>
    </w:p>
    <w:p w14:paraId="685D89BA">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 xml:space="preserve">地  址： </w:t>
      </w:r>
    </w:p>
    <w:p w14:paraId="07AF7481">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 xml:space="preserve">联系人：  </w:t>
      </w:r>
    </w:p>
    <w:p w14:paraId="0D7E9F4E">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电  话：</w:t>
      </w:r>
    </w:p>
    <w:p w14:paraId="6BED4B14">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3次出现故障（非人为情况）或换货后仍出现故障的，甲方有权要求退货。因乙方未及时维修给甲方造成的一切损失由乙方承担。</w:t>
      </w:r>
    </w:p>
    <w:p w14:paraId="74D38AE8">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3、乙方定期派技术人员到现场走访，对设备给予检查维护。每季度免费上门对设备进行专业的保养和维护不少于</w:t>
      </w:r>
      <w:r>
        <w:rPr>
          <w:rFonts w:hint="eastAsia" w:ascii="仿宋" w:hAnsi="仿宋" w:eastAsia="仿宋" w:cs="仿宋"/>
          <w:color w:val="000000"/>
          <w:sz w:val="21"/>
          <w:szCs w:val="24"/>
          <w:lang w:val="en-US" w:eastAsia="zh-CN" w:bidi="ar"/>
        </w:rPr>
        <w:t>壹</w:t>
      </w:r>
      <w:r>
        <w:rPr>
          <w:rFonts w:hint="eastAsia" w:ascii="仿宋" w:hAnsi="仿宋" w:eastAsia="仿宋" w:cs="仿宋"/>
          <w:color w:val="000000"/>
          <w:sz w:val="21"/>
          <w:szCs w:val="24"/>
          <w:lang w:eastAsia="zh-CN" w:bidi="ar"/>
        </w:rPr>
        <w:t>次。维护内容包括：检查所有设备及设备间各连接件，设备内清洁和机械滑动上油，进行系统测试等、确保所有设备的正常使用。</w:t>
      </w:r>
    </w:p>
    <w:p w14:paraId="1660B518">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4、质保期内：所有设备自验收合格之日（甲方出具书面验收合格证明文件落款之日）起包修</w:t>
      </w:r>
      <w:r>
        <w:rPr>
          <w:rFonts w:hint="eastAsia" w:ascii="仿宋" w:hAnsi="仿宋" w:eastAsia="仿宋" w:cs="仿宋"/>
          <w:color w:val="000000"/>
          <w:sz w:val="21"/>
          <w:szCs w:val="24"/>
          <w:u w:val="single"/>
          <w:lang w:eastAsia="zh-CN" w:bidi="ar"/>
        </w:rPr>
        <w:t xml:space="preserve">   </w:t>
      </w:r>
      <w:r>
        <w:rPr>
          <w:rFonts w:hint="eastAsia" w:ascii="仿宋" w:hAnsi="仿宋" w:eastAsia="仿宋" w:cs="仿宋"/>
          <w:color w:val="000000"/>
          <w:sz w:val="21"/>
          <w:szCs w:val="24"/>
          <w:lang w:eastAsia="zh-CN" w:bidi="ar"/>
        </w:rPr>
        <w:t>年。乙方提供最新产品软件升级和更新。</w:t>
      </w:r>
    </w:p>
    <w:p w14:paraId="1D4BAB59">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5、质保期内：设备年开机率达到98％，故障率低于2％。累计停机时长每满24小时一次，质保期顺延5个工作日（停机时长24小时，质保期顺延5个工作日，停机时长48小时，质保期顺延10个工作日，以此类推）。</w:t>
      </w:r>
    </w:p>
    <w:p w14:paraId="0911792B">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6、质保期满后乙方负责设备的终身维修服务。维修不收取服务费，只收取材料成本费并且</w:t>
      </w:r>
      <w:r>
        <w:rPr>
          <w:rFonts w:hint="eastAsia" w:ascii="仿宋" w:hAnsi="仿宋" w:eastAsia="仿宋" w:cs="仿宋"/>
          <w:sz w:val="21"/>
          <w:szCs w:val="24"/>
          <w:lang w:eastAsia="zh-CN" w:bidi="ar"/>
        </w:rPr>
        <w:t>保证零配件供应10年。</w:t>
      </w:r>
      <w:r>
        <w:rPr>
          <w:rFonts w:hint="eastAsia" w:ascii="仿宋" w:hAnsi="仿宋" w:eastAsia="仿宋" w:cs="仿宋"/>
          <w:color w:val="000000"/>
          <w:sz w:val="21"/>
          <w:szCs w:val="24"/>
          <w:lang w:eastAsia="zh-CN" w:bidi="ar"/>
        </w:rPr>
        <w:t>售后服务标准按照质保期内的标准执行。</w:t>
      </w:r>
    </w:p>
    <w:p w14:paraId="4E6257FA">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五、人员培训</w:t>
      </w:r>
    </w:p>
    <w:p w14:paraId="2B0B112E">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装机后乙方为甲方相关医护、技术及维修人员提供培训，直至双方认证合格，培训约定如下：</w:t>
      </w:r>
    </w:p>
    <w:p w14:paraId="2132692B">
      <w:pPr>
        <w:wordWrap/>
        <w:topLinePunct/>
        <w:autoSpaceDE/>
        <w:autoSpaceDN/>
        <w:spacing w:line="360" w:lineRule="auto"/>
        <w:ind w:firstLine="420" w:firstLineChars="200"/>
        <w:rPr>
          <w:rFonts w:hint="eastAsia" w:ascii="仿宋" w:hAnsi="仿宋" w:eastAsia="仿宋" w:cs="仿宋"/>
          <w:color w:val="000000"/>
          <w:sz w:val="21"/>
          <w:szCs w:val="24"/>
          <w:u w:val="single"/>
          <w:lang w:eastAsia="zh-CN"/>
        </w:rPr>
      </w:pPr>
      <w:r>
        <w:rPr>
          <w:rFonts w:hint="eastAsia" w:ascii="仿宋" w:hAnsi="仿宋" w:eastAsia="仿宋" w:cs="仿宋"/>
          <w:color w:val="000000"/>
          <w:sz w:val="21"/>
          <w:szCs w:val="24"/>
          <w:lang w:eastAsia="zh-CN" w:bidi="ar"/>
        </w:rPr>
        <w:t>培训对象及人数：</w:t>
      </w:r>
    </w:p>
    <w:p w14:paraId="6C1F1A84">
      <w:pPr>
        <w:wordWrap/>
        <w:topLinePunct/>
        <w:autoSpaceDE/>
        <w:autoSpaceDN/>
        <w:spacing w:line="360" w:lineRule="auto"/>
        <w:ind w:firstLine="420" w:firstLineChars="200"/>
        <w:rPr>
          <w:rFonts w:hint="eastAsia" w:ascii="仿宋" w:hAnsi="仿宋" w:eastAsia="仿宋" w:cs="仿宋"/>
          <w:color w:val="000000"/>
          <w:sz w:val="21"/>
          <w:szCs w:val="24"/>
          <w:u w:val="single"/>
          <w:lang w:eastAsia="zh-CN"/>
        </w:rPr>
      </w:pPr>
      <w:r>
        <w:rPr>
          <w:rFonts w:hint="eastAsia" w:ascii="仿宋" w:hAnsi="仿宋" w:eastAsia="仿宋" w:cs="仿宋"/>
          <w:color w:val="000000"/>
          <w:sz w:val="21"/>
          <w:szCs w:val="24"/>
          <w:lang w:eastAsia="zh-CN" w:bidi="ar"/>
        </w:rPr>
        <w:t>培训方式及地点：</w:t>
      </w:r>
    </w:p>
    <w:p w14:paraId="25F0F3B5">
      <w:pPr>
        <w:wordWrap/>
        <w:topLinePunct/>
        <w:autoSpaceDE/>
        <w:autoSpaceDN/>
        <w:spacing w:line="360" w:lineRule="auto"/>
        <w:ind w:firstLine="420" w:firstLineChars="200"/>
        <w:rPr>
          <w:rFonts w:hint="eastAsia" w:ascii="仿宋" w:hAnsi="仿宋" w:eastAsia="仿宋" w:cs="仿宋"/>
          <w:b/>
          <w:bCs/>
          <w:color w:val="000000"/>
          <w:sz w:val="21"/>
          <w:szCs w:val="24"/>
          <w:lang w:eastAsia="zh-CN"/>
        </w:rPr>
      </w:pPr>
      <w:r>
        <w:rPr>
          <w:rFonts w:hint="eastAsia" w:ascii="仿宋" w:hAnsi="仿宋" w:eastAsia="仿宋" w:cs="仿宋"/>
          <w:color w:val="000000"/>
          <w:sz w:val="21"/>
          <w:szCs w:val="24"/>
          <w:lang w:eastAsia="zh-CN" w:bidi="ar"/>
        </w:rPr>
        <w:t>培训时间及费用：</w:t>
      </w:r>
    </w:p>
    <w:p w14:paraId="7CB24DF4">
      <w:pPr>
        <w:wordWrap/>
        <w:topLinePunct/>
        <w:autoSpaceDE/>
        <w:autoSpaceDN/>
        <w:spacing w:line="360" w:lineRule="auto"/>
        <w:ind w:firstLineChars="200"/>
        <w:rPr>
          <w:rFonts w:hint="eastAsia" w:ascii="仿宋" w:hAnsi="仿宋" w:eastAsia="仿宋" w:cs="仿宋"/>
          <w:b/>
          <w:bCs/>
          <w:sz w:val="21"/>
          <w:szCs w:val="24"/>
          <w:lang w:eastAsia="zh-CN"/>
        </w:rPr>
      </w:pPr>
      <w:r>
        <w:rPr>
          <w:rFonts w:hint="eastAsia" w:ascii="仿宋" w:hAnsi="仿宋" w:eastAsia="仿宋" w:cs="仿宋"/>
          <w:b/>
          <w:bCs/>
          <w:sz w:val="21"/>
          <w:szCs w:val="24"/>
          <w:lang w:eastAsia="zh-CN" w:bidi="ar"/>
        </w:rPr>
        <w:t>六、付款方式和条件</w:t>
      </w:r>
    </w:p>
    <w:p w14:paraId="116426A8">
      <w:pPr>
        <w:wordWrap/>
        <w:autoSpaceDE/>
        <w:autoSpaceDN/>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付款时间：依照陕西省康复医院财务制度执行</w:t>
      </w:r>
    </w:p>
    <w:p w14:paraId="0B507F19">
      <w:pPr>
        <w:wordWrap/>
        <w:autoSpaceDE/>
        <w:autoSpaceDN/>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付款方式：银行转账</w:t>
      </w:r>
    </w:p>
    <w:p w14:paraId="77AEF9C8">
      <w:pPr>
        <w:wordWrap/>
        <w:autoSpaceDE/>
        <w:autoSpaceDN/>
        <w:spacing w:line="360" w:lineRule="auto"/>
        <w:ind w:firstLine="480" w:firstLineChars="200"/>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lang w:val="en-US" w:eastAsia="zh-CN"/>
        </w:rPr>
        <w:t>付款条件：合同签订后，乙方提交付款申请，达到付款条件起10个工作日内，支付合同金额的60％；货到安装培训验收合格后，甲方</w:t>
      </w:r>
      <w:bookmarkStart w:id="1" w:name="_GoBack"/>
      <w:bookmarkEnd w:id="1"/>
      <w:r>
        <w:rPr>
          <w:rFonts w:hint="eastAsia" w:ascii="仿宋" w:hAnsi="仿宋" w:eastAsia="仿宋" w:cs="仿宋"/>
          <w:sz w:val="24"/>
          <w:szCs w:val="24"/>
          <w:highlight w:val="none"/>
          <w:u w:val="none"/>
          <w:lang w:val="en-US" w:eastAsia="zh-CN"/>
        </w:rPr>
        <w:t>收到乙方开具的增值税普通发票后，30个工作日内付款40％。</w:t>
      </w:r>
    </w:p>
    <w:p w14:paraId="6F9B1BB3">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（二）支付方式通过银行转账方式将款项转入乙方银行账户。乙方银行账户信息如下:</w:t>
      </w:r>
    </w:p>
    <w:p w14:paraId="1F55E28F">
      <w:pPr>
        <w:widowControl w:val="0"/>
        <w:autoSpaceDE w:val="0"/>
        <w:adjustRightInd w:val="0"/>
        <w:spacing w:after="0" w:line="360" w:lineRule="auto"/>
        <w:ind w:left="0" w:leftChars="0" w:firstLine="480" w:firstLineChars="200"/>
        <w:jc w:val="both"/>
        <w:rPr>
          <w:rFonts w:hint="eastAsia" w:ascii="仿宋" w:hAnsi="仿宋" w:eastAsia="仿宋" w:cs="仿宋"/>
          <w:color w:val="000000"/>
          <w:kern w:val="2"/>
          <w:sz w:val="24"/>
          <w:szCs w:val="24"/>
          <w:lang w:val="en-US" w:eastAsia="zh-CN" w:bidi="ar"/>
        </w:rPr>
      </w:pPr>
      <w:r>
        <w:rPr>
          <w:rFonts w:hint="eastAsia" w:ascii="仿宋" w:hAnsi="仿宋" w:eastAsia="仿宋" w:cs="仿宋"/>
          <w:kern w:val="2"/>
          <w:sz w:val="24"/>
          <w:szCs w:val="24"/>
          <w:lang w:val="en-US" w:eastAsia="zh-CN" w:bidi="ar-SA"/>
        </w:rPr>
        <w:t xml:space="preserve">账户全称: </w:t>
      </w:r>
    </w:p>
    <w:p w14:paraId="74AEABFC">
      <w:pPr>
        <w:widowControl w:val="0"/>
        <w:autoSpaceDE w:val="0"/>
        <w:adjustRightInd w:val="0"/>
        <w:spacing w:after="0" w:line="360" w:lineRule="auto"/>
        <w:ind w:left="0" w:leftChars="0" w:firstLine="480" w:firstLineChars="200"/>
        <w:jc w:val="both"/>
        <w:rPr>
          <w:rFonts w:hint="eastAsia" w:ascii="仿宋" w:hAnsi="仿宋" w:eastAsia="仿宋" w:cs="仿宋"/>
          <w:color w:val="000000"/>
          <w:kern w:val="2"/>
          <w:sz w:val="24"/>
          <w:szCs w:val="24"/>
          <w:lang w:val="en-US" w:eastAsia="zh-CN" w:bidi="ar"/>
        </w:rPr>
      </w:pPr>
      <w:r>
        <w:rPr>
          <w:rFonts w:hint="eastAsia" w:ascii="仿宋" w:hAnsi="仿宋" w:eastAsia="仿宋" w:cs="仿宋"/>
          <w:kern w:val="2"/>
          <w:sz w:val="24"/>
          <w:szCs w:val="24"/>
          <w:lang w:val="en-US" w:eastAsia="zh-CN" w:bidi="ar-SA"/>
        </w:rPr>
        <w:t xml:space="preserve">账号: </w:t>
      </w:r>
    </w:p>
    <w:p w14:paraId="1DC817C2">
      <w:pPr>
        <w:wordWrap/>
        <w:topLinePunct/>
        <w:autoSpaceDE/>
        <w:autoSpaceDN/>
        <w:spacing w:line="360" w:lineRule="auto"/>
        <w:ind w:firstLine="420" w:firstLineChars="200"/>
        <w:rPr>
          <w:rFonts w:hint="eastAsia" w:ascii="仿宋" w:hAnsi="仿宋" w:eastAsia="仿宋" w:cs="仿宋"/>
          <w:sz w:val="21"/>
          <w:szCs w:val="24"/>
          <w:lang w:eastAsia="zh-CN"/>
        </w:rPr>
      </w:pPr>
      <w:r>
        <w:rPr>
          <w:rFonts w:hint="eastAsia" w:ascii="仿宋" w:hAnsi="仿宋" w:eastAsia="仿宋" w:cs="仿宋"/>
          <w:sz w:val="21"/>
          <w:szCs w:val="24"/>
          <w:lang w:eastAsia="zh-CN"/>
        </w:rPr>
        <w:t>开户行:</w:t>
      </w:r>
      <w:r>
        <w:rPr>
          <w:rFonts w:hint="eastAsia" w:ascii="仿宋" w:hAnsi="仿宋" w:eastAsia="仿宋" w:cs="仿宋"/>
          <w:sz w:val="21"/>
          <w:szCs w:val="24"/>
          <w:lang w:eastAsia="zh-CN" w:bidi="ar"/>
        </w:rPr>
        <w:t xml:space="preserve"> </w:t>
      </w:r>
    </w:p>
    <w:p w14:paraId="3E529663">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456BD7BC">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（三）结算要求：乙方应在设备验收合格后三日内，向甲方一次性开具符合要求的合同全</w:t>
      </w:r>
      <w:r>
        <w:rPr>
          <w:rFonts w:hint="eastAsia" w:ascii="仿宋" w:hAnsi="仿宋" w:eastAsia="仿宋" w:cs="仿宋"/>
          <w:sz w:val="21"/>
          <w:szCs w:val="24"/>
          <w:lang w:eastAsia="zh-CN" w:bidi="ar"/>
        </w:rPr>
        <w:t>款正式发票。</w:t>
      </w:r>
      <w:r>
        <w:rPr>
          <w:rFonts w:hint="eastAsia" w:ascii="仿宋" w:hAnsi="仿宋" w:eastAsia="仿宋" w:cs="仿宋"/>
          <w:sz w:val="21"/>
          <w:szCs w:val="24"/>
          <w:lang w:eastAsia="zh-CN"/>
        </w:rPr>
        <w:t>乙方迟延开具发票、无法开具发票或开具的发票金额低于约定金额的，甲方有权相应地迟延付款、暂不付款或按低于约定金额的发票金额来付款，并对此不承担任何责任。</w:t>
      </w:r>
    </w:p>
    <w:p w14:paraId="1BF0AF83">
      <w:pPr>
        <w:wordWrap/>
        <w:topLinePunct/>
        <w:autoSpaceDE/>
        <w:autoSpaceDN/>
        <w:spacing w:line="360" w:lineRule="auto"/>
        <w:ind w:firstLineChars="200"/>
        <w:rPr>
          <w:rFonts w:hint="eastAsia" w:ascii="仿宋" w:hAnsi="仿宋" w:eastAsia="仿宋" w:cs="仿宋"/>
          <w:b/>
          <w:bCs/>
          <w:color w:val="000000"/>
          <w:sz w:val="21"/>
          <w:szCs w:val="24"/>
          <w:lang w:eastAsia="zh-CN"/>
        </w:rPr>
      </w:pPr>
      <w:r>
        <w:rPr>
          <w:rFonts w:hint="eastAsia" w:ascii="仿宋" w:hAnsi="仿宋" w:eastAsia="仿宋" w:cs="仿宋"/>
          <w:b/>
          <w:bCs/>
          <w:color w:val="000000"/>
          <w:sz w:val="21"/>
          <w:szCs w:val="24"/>
          <w:lang w:eastAsia="zh-CN" w:bidi="ar"/>
        </w:rPr>
        <w:t>七、违约责任</w:t>
      </w:r>
    </w:p>
    <w:p w14:paraId="6893CB58">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w:t>
      </w:r>
    </w:p>
    <w:p w14:paraId="259C9A5E">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w:t>
      </w:r>
    </w:p>
    <w:p w14:paraId="315F4820">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3、乙方不能按期交货，每延迟壹天，应付不能交货部分货款5‰的延迟付款违约金。逾期交货超过20天，甲方有权单方解除合同，自甲方合同解除通知送达之日，合同解除生效。</w:t>
      </w:r>
    </w:p>
    <w:p w14:paraId="0039FECF">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合同解除后，甲方有权拒收乙方货物且无需支付未交货部分货款。由此产生的全部法律责任及费用支出由乙方自行承担。</w:t>
      </w:r>
    </w:p>
    <w:p w14:paraId="7C342473">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4、乙方如没有按合同规定履行售后服务承诺，甲方可另行选择第三方单位进行修复，其费用全部由乙方支付，且甲方有权追究乙方的违约责任，包括为实现债权而支付的律师费、诉讼费、保全费等。</w:t>
      </w:r>
    </w:p>
    <w:p w14:paraId="6E85A570">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八、争议解决方式</w:t>
      </w:r>
    </w:p>
    <w:p w14:paraId="3E4D40FF">
      <w:pPr>
        <w:wordWrap/>
        <w:topLinePunct/>
        <w:autoSpaceDE/>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因本合同而发生的争议或纠纷，甲乙双方应先协商解决，协商不成时可向甲方所在地的人民法院提起诉讼。</w:t>
      </w:r>
    </w:p>
    <w:p w14:paraId="64D2C9C6">
      <w:pPr>
        <w:wordWrap/>
        <w:topLinePunct/>
        <w:autoSpaceDE/>
        <w:autoSpaceDN/>
        <w:spacing w:line="360" w:lineRule="auto"/>
        <w:ind w:firstLineChars="200"/>
        <w:rPr>
          <w:rFonts w:hint="eastAsia" w:ascii="仿宋" w:hAnsi="仿宋" w:eastAsia="仿宋" w:cs="仿宋"/>
          <w:b/>
          <w:bCs/>
          <w:color w:val="000000"/>
          <w:sz w:val="21"/>
          <w:szCs w:val="24"/>
          <w:lang w:eastAsia="zh-CN" w:bidi="ar"/>
        </w:rPr>
      </w:pPr>
      <w:r>
        <w:rPr>
          <w:rFonts w:hint="eastAsia" w:ascii="仿宋" w:hAnsi="仿宋" w:eastAsia="仿宋" w:cs="仿宋"/>
          <w:b/>
          <w:bCs/>
          <w:color w:val="000000"/>
          <w:sz w:val="21"/>
          <w:szCs w:val="24"/>
          <w:lang w:eastAsia="zh-CN" w:bidi="ar"/>
        </w:rPr>
        <w:t>九、其他约定</w:t>
      </w:r>
    </w:p>
    <w:p w14:paraId="623DD4ED">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1、如因设备质量或原始标（警）示不清等原因，导致甲方损失，或造成甲方操作人员、第三方人员人身伤害，乙方应依法予以赔偿。</w:t>
      </w:r>
    </w:p>
    <w:p w14:paraId="5EBB01FF">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14:paraId="093AF3E4">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3、以下资料为本合同不可分割部分：（1）本合同所涉产品的国家标准及乙方宣传标准；（2）本产品的详细资料；（3）本套产品配置及配套设备报价详单；（4）本项目招投标文件、答疑文件及其他补充说明文件等招投标内容。</w:t>
      </w:r>
    </w:p>
    <w:p w14:paraId="2AE037E8">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4、本合同一式肆份，甲方执叁份，乙方执壹份，均具有同等法律效力。</w:t>
      </w:r>
    </w:p>
    <w:p w14:paraId="02C904ED">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5、本合同未尽事宜，由甲、乙双方另行签订补充协议。</w:t>
      </w:r>
    </w:p>
    <w:p w14:paraId="44749A08">
      <w:pPr>
        <w:wordWrap/>
        <w:topLinePunct/>
        <w:autoSpaceDE/>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6、本合同自甲、乙双方盖章或签字之日起生效。</w:t>
      </w:r>
    </w:p>
    <w:p w14:paraId="79AEFAF0">
      <w:pPr>
        <w:wordWrap/>
        <w:topLinePunct/>
        <w:autoSpaceDE/>
        <w:autoSpaceDN/>
        <w:spacing w:line="360" w:lineRule="auto"/>
        <w:ind w:firstLine="420" w:firstLineChars="200"/>
        <w:rPr>
          <w:rFonts w:hint="eastAsia" w:ascii="仿宋" w:hAnsi="仿宋" w:eastAsia="仿宋" w:cs="仿宋"/>
          <w:color w:val="993300"/>
          <w:sz w:val="21"/>
          <w:szCs w:val="24"/>
          <w:lang w:eastAsia="zh-CN"/>
        </w:rPr>
      </w:pPr>
      <w:r>
        <w:rPr>
          <w:rFonts w:hint="eastAsia" w:ascii="仿宋" w:hAnsi="仿宋" w:eastAsia="仿宋" w:cs="仿宋"/>
          <w:color w:val="000000"/>
          <w:sz w:val="21"/>
          <w:szCs w:val="24"/>
          <w:lang w:eastAsia="zh-CN" w:bidi="ar"/>
        </w:rPr>
        <w:t>（以下无正文）</w:t>
      </w:r>
    </w:p>
    <w:p w14:paraId="363D626A">
      <w:pPr>
        <w:wordWrap/>
        <w:topLinePunct/>
        <w:autoSpaceDE w:val="0"/>
        <w:autoSpaceDN/>
        <w:spacing w:line="360" w:lineRule="auto"/>
        <w:ind w:left="6126" w:leftChars="228" w:hanging="5670" w:hangingChars="2700"/>
        <w:rPr>
          <w:rFonts w:hint="eastAsia" w:ascii="仿宋" w:hAnsi="仿宋" w:eastAsia="仿宋" w:cs="仿宋"/>
          <w:sz w:val="21"/>
          <w:lang w:eastAsia="zh-CN"/>
        </w:rPr>
      </w:pPr>
      <w:r>
        <w:rPr>
          <w:rFonts w:hint="eastAsia" w:ascii="仿宋" w:hAnsi="仿宋" w:eastAsia="仿宋" w:cs="仿宋"/>
          <w:color w:val="000000"/>
          <w:sz w:val="21"/>
          <w:szCs w:val="24"/>
          <w:lang w:eastAsia="zh-CN" w:bidi="ar"/>
        </w:rPr>
        <w:t>甲  方（公章）陕西省康复医院         乙  方（公章）</w:t>
      </w:r>
    </w:p>
    <w:p w14:paraId="2409265E">
      <w:pPr>
        <w:wordWrap/>
        <w:topLinePunct/>
        <w:autoSpaceDE w:val="0"/>
        <w:autoSpaceDN/>
        <w:spacing w:line="360" w:lineRule="auto"/>
        <w:ind w:firstLine="420" w:firstLineChars="200"/>
        <w:rPr>
          <w:rFonts w:hint="eastAsia" w:ascii="仿宋" w:hAnsi="仿宋" w:eastAsia="仿宋" w:cs="仿宋"/>
          <w:sz w:val="21"/>
          <w:lang w:eastAsia="zh-CN"/>
        </w:rPr>
      </w:pPr>
      <w:r>
        <w:rPr>
          <w:rFonts w:hint="eastAsia" w:ascii="仿宋" w:hAnsi="仿宋" w:eastAsia="仿宋" w:cs="仿宋"/>
          <w:color w:val="000000"/>
          <w:sz w:val="21"/>
          <w:szCs w:val="24"/>
          <w:lang w:eastAsia="zh-CN" w:bidi="ar"/>
        </w:rPr>
        <w:t>法定代表人或代理人：                法定代表人或代理人：</w:t>
      </w:r>
    </w:p>
    <w:p w14:paraId="650787F1">
      <w:pPr>
        <w:wordWrap/>
        <w:topLinePunct/>
        <w:autoSpaceDE w:val="0"/>
        <w:autoSpaceDN/>
        <w:spacing w:line="360" w:lineRule="auto"/>
        <w:ind w:firstLine="420" w:firstLineChars="200"/>
        <w:rPr>
          <w:rFonts w:hint="eastAsia" w:ascii="仿宋" w:hAnsi="仿宋" w:eastAsia="仿宋" w:cs="仿宋"/>
          <w:color w:val="000000"/>
          <w:sz w:val="21"/>
          <w:szCs w:val="24"/>
          <w:lang w:eastAsia="zh-CN"/>
        </w:rPr>
      </w:pPr>
      <w:r>
        <w:rPr>
          <w:rFonts w:hint="eastAsia" w:ascii="仿宋" w:hAnsi="仿宋" w:eastAsia="仿宋" w:cs="仿宋"/>
          <w:color w:val="000000"/>
          <w:sz w:val="21"/>
          <w:szCs w:val="24"/>
          <w:lang w:eastAsia="zh-CN" w:bidi="ar"/>
        </w:rPr>
        <w:t>（签字）                             （签字）</w:t>
      </w:r>
    </w:p>
    <w:p w14:paraId="5061727E">
      <w:pPr>
        <w:wordWrap/>
        <w:topLinePunct/>
        <w:autoSpaceDE w:val="0"/>
        <w:autoSpaceDN/>
        <w:spacing w:line="360" w:lineRule="auto"/>
        <w:ind w:firstLine="420" w:firstLineChars="200"/>
        <w:rPr>
          <w:rFonts w:hint="eastAsia" w:ascii="仿宋" w:hAnsi="仿宋" w:eastAsia="仿宋" w:cs="仿宋"/>
          <w:color w:val="000000"/>
          <w:sz w:val="21"/>
          <w:szCs w:val="24"/>
          <w:lang w:eastAsia="zh-CN" w:bidi="ar"/>
        </w:rPr>
      </w:pPr>
      <w:r>
        <w:rPr>
          <w:rFonts w:hint="eastAsia" w:ascii="仿宋" w:hAnsi="仿宋" w:eastAsia="仿宋" w:cs="仿宋"/>
          <w:color w:val="000000"/>
          <w:sz w:val="21"/>
          <w:szCs w:val="24"/>
          <w:lang w:eastAsia="zh-CN" w:bidi="ar"/>
        </w:rPr>
        <w:t>签订日期： 年   月   日              签订日期：  年   月   日</w:t>
      </w:r>
    </w:p>
    <w:p w14:paraId="2857F8E6">
      <w:pPr>
        <w:rPr>
          <w:rFonts w:hint="eastAsia" w:ascii="宋体" w:hAnsi="宋体" w:eastAsia="宋体" w:cs="宋体"/>
          <w:lang w:val="en-US" w:eastAsia="zh-Hans"/>
        </w:rPr>
      </w:pPr>
    </w:p>
    <w:p w14:paraId="49AE219A">
      <w:pPr>
        <w:wordWrap/>
        <w:autoSpaceDE/>
        <w:autoSpaceDN/>
        <w:spacing w:before="156" w:beforeLines="50" w:after="156" w:afterLines="50" w:line="360" w:lineRule="auto"/>
        <w:ind w:firstLine="0"/>
        <w:jc w:val="center"/>
        <w:outlineLvl w:val="1"/>
        <w:rPr>
          <w:rFonts w:hint="eastAsia" w:ascii="宋体" w:hAnsi="宋体" w:eastAsia="宋体" w:cs="宋体"/>
          <w:b/>
          <w:sz w:val="36"/>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FA24DF2"/>
    <w:rsid w:val="140D67D5"/>
    <w:rsid w:val="20D05EA9"/>
    <w:rsid w:val="264F0079"/>
    <w:rsid w:val="340B271C"/>
    <w:rsid w:val="36DE2219"/>
    <w:rsid w:val="3DB12C1D"/>
    <w:rsid w:val="403B217E"/>
    <w:rsid w:val="49F22648"/>
    <w:rsid w:val="58BC239B"/>
    <w:rsid w:val="64DF3A6C"/>
    <w:rsid w:val="66167B0E"/>
    <w:rsid w:val="676650A3"/>
    <w:rsid w:val="677271C9"/>
    <w:rsid w:val="697314F9"/>
    <w:rsid w:val="70F34A0C"/>
    <w:rsid w:val="75714966"/>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iPriority="99"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Body Text Indent 3"/>
    <w:basedOn w:val="1"/>
    <w:semiHidden/>
    <w:unhideWhenUsed/>
    <w:qFormat/>
    <w:uiPriority w:val="99"/>
    <w:pPr>
      <w:spacing w:after="120"/>
      <w:ind w:left="420" w:leftChars="200"/>
    </w:pPr>
    <w:rPr>
      <w:sz w:val="16"/>
      <w:szCs w:val="16"/>
    </w:rPr>
  </w:style>
  <w:style w:type="character" w:customStyle="1" w:styleId="14">
    <w:name w:val="标题 1 字符"/>
    <w:link w:val="15"/>
    <w:qFormat/>
    <w:uiPriority w:val="99"/>
    <w:rPr>
      <w:rFonts w:hint="eastAsia" w:ascii="宋体" w:hAnsi="宋体"/>
      <w:b/>
      <w:bCs/>
      <w:kern w:val="44"/>
      <w:sz w:val="48"/>
      <w:szCs w:val="48"/>
    </w:rPr>
  </w:style>
  <w:style w:type="paragraph" w:customStyle="1" w:styleId="15">
    <w:name w:val="标题 11"/>
    <w:basedOn w:val="1"/>
    <w:link w:val="14"/>
    <w:qFormat/>
    <w:uiPriority w:val="0"/>
    <w:pPr>
      <w:spacing w:beforeAutospacing="1" w:afterAutospacing="1"/>
      <w:jc w:val="left"/>
      <w:outlineLvl w:val="0"/>
    </w:pPr>
    <w:rPr>
      <w:rFonts w:hint="eastAsia" w:ascii="宋体" w:hAnsi="宋体"/>
      <w:b/>
      <w:bCs/>
      <w:kern w:val="44"/>
      <w:sz w:val="48"/>
      <w:szCs w:val="48"/>
    </w:rPr>
  </w:style>
  <w:style w:type="paragraph" w:customStyle="1" w:styleId="16">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7">
    <w:name w:val="List Paragraph"/>
    <w:basedOn w:val="1"/>
    <w:qFormat/>
    <w:uiPriority w:val="1"/>
    <w:pPr>
      <w:ind w:left="100" w:firstLine="420"/>
    </w:pPr>
    <w:rPr>
      <w:rFonts w:ascii="宋体" w:hAnsi="宋体" w:eastAsia="宋体" w:cs="宋体"/>
    </w:rPr>
  </w:style>
  <w:style w:type="paragraph" w:customStyle="1" w:styleId="18">
    <w:name w:val="Table Paragraph"/>
    <w:basedOn w:val="1"/>
    <w:qFormat/>
    <w:uiPriority w:val="1"/>
    <w:rPr>
      <w:rFonts w:ascii="宋体" w:hAnsi="宋体" w:eastAsia="宋体" w:cs="宋体"/>
    </w:rPr>
  </w:style>
  <w:style w:type="paragraph" w:styleId="19">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3297</Words>
  <Characters>3342</Characters>
  <Lines>0</Lines>
  <Paragraphs>0</Paragraphs>
  <TotalTime>0</TotalTime>
  <ScaleCrop>false</ScaleCrop>
  <LinksUpToDate>false</LinksUpToDate>
  <CharactersWithSpaces>3512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2026-07-08T09:04:05Z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